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433" w:rsidRDefault="002E37C1" w:rsidP="00BE0433">
      <w:pPr>
        <w:pStyle w:val="Authors"/>
        <w:rPr>
          <w:rFonts w:ascii="Helvetica" w:eastAsia="Times New Roman" w:hAnsi="Helvetica" w:cs="Helvetica"/>
          <w:lang w:eastAsia="hr-HR"/>
        </w:rPr>
      </w:pPr>
      <w:r>
        <w:rPr>
          <w:rFonts w:ascii="Helvetica" w:eastAsia="Times New Roman" w:hAnsi="Helvetica" w:cs="Helvetica"/>
          <w:lang w:eastAsia="hr-HR"/>
        </w:rPr>
        <w:t>Photodegradation</w:t>
      </w:r>
      <w:r w:rsidR="00BE0433">
        <w:rPr>
          <w:rFonts w:ascii="Helvetica" w:eastAsia="Times New Roman" w:hAnsi="Helvetica" w:cs="Helvetica"/>
          <w:lang w:eastAsia="hr-HR"/>
        </w:rPr>
        <w:t xml:space="preserve"> of </w:t>
      </w:r>
      <w:r>
        <w:rPr>
          <w:rFonts w:ascii="Helvetica" w:eastAsia="Times New Roman" w:hAnsi="Helvetica" w:cs="Helvetica"/>
          <w:lang w:eastAsia="hr-HR"/>
        </w:rPr>
        <w:t>doxazosin</w:t>
      </w:r>
      <w:r w:rsidR="00BE0433">
        <w:rPr>
          <w:rFonts w:ascii="Helvetica" w:eastAsia="Times New Roman" w:hAnsi="Helvetica" w:cs="Helvetica"/>
          <w:lang w:eastAsia="hr-HR"/>
        </w:rPr>
        <w:t xml:space="preserve"> under </w:t>
      </w:r>
      <w:r>
        <w:rPr>
          <w:rFonts w:ascii="Helvetica" w:eastAsia="Times New Roman" w:hAnsi="Helvetica" w:cs="Helvetica"/>
          <w:lang w:eastAsia="hr-HR"/>
        </w:rPr>
        <w:t>simulated</w:t>
      </w:r>
      <w:r w:rsidR="00BE0433">
        <w:rPr>
          <w:rFonts w:ascii="Helvetica" w:eastAsia="Times New Roman" w:hAnsi="Helvetica" w:cs="Helvetica"/>
          <w:lang w:eastAsia="hr-HR"/>
        </w:rPr>
        <w:t xml:space="preserve"> conditions</w:t>
      </w:r>
      <w:r w:rsidR="00A8578D">
        <w:rPr>
          <w:rFonts w:ascii="Helvetica" w:eastAsia="Times New Roman" w:hAnsi="Helvetica" w:cs="Helvetica"/>
          <w:lang w:eastAsia="hr-HR"/>
        </w:rPr>
        <w:t xml:space="preserve"> and products identification </w:t>
      </w:r>
    </w:p>
    <w:p w:rsidR="00BE0433" w:rsidRDefault="00BE0433" w:rsidP="00BE0433">
      <w:pPr>
        <w:pStyle w:val="Authors"/>
        <w:rPr>
          <w:rFonts w:ascii="Calibri" w:hAnsi="Calibri" w:cs="Arial"/>
          <w:b/>
          <w:sz w:val="28"/>
          <w:szCs w:val="28"/>
          <w:lang w:val="en-US"/>
        </w:rPr>
      </w:pPr>
    </w:p>
    <w:p w:rsidR="00BE0433" w:rsidRPr="00BE0433" w:rsidRDefault="00BE0433" w:rsidP="00BE0433">
      <w:pPr>
        <w:pStyle w:val="Papertext"/>
      </w:pPr>
    </w:p>
    <w:p w:rsidR="00BE0433" w:rsidRPr="002F135B" w:rsidRDefault="00BE0433" w:rsidP="00BE0433">
      <w:pPr>
        <w:pStyle w:val="Authors"/>
        <w:adjustRightInd w:val="0"/>
        <w:snapToGrid w:val="0"/>
        <w:rPr>
          <w:rFonts w:ascii="Calibri" w:hAnsi="Calibri" w:cs="Arial"/>
          <w:lang w:eastAsia="zh-CN"/>
        </w:rPr>
      </w:pPr>
      <w:r>
        <w:rPr>
          <w:rFonts w:ascii="Calibri" w:hAnsi="Calibri" w:cs="Arial"/>
          <w:u w:val="single"/>
        </w:rPr>
        <w:t>Polonca Trebše</w:t>
      </w:r>
      <w:r w:rsidRPr="002F135B">
        <w:rPr>
          <w:rFonts w:ascii="Calibri" w:hAnsi="Calibri" w:cs="Arial"/>
          <w:u w:val="single"/>
        </w:rPr>
        <w:t>,</w:t>
      </w:r>
      <w:r w:rsidRPr="002F135B">
        <w:rPr>
          <w:rFonts w:ascii="Calibri" w:hAnsi="Calibri" w:cs="Arial"/>
          <w:vertAlign w:val="superscript"/>
        </w:rPr>
        <w:t>1</w:t>
      </w:r>
      <w:r w:rsidR="009C47E0">
        <w:rPr>
          <w:rFonts w:ascii="Calibri" w:hAnsi="Calibri" w:cs="Arial"/>
        </w:rPr>
        <w:t>Ivana Tartaro Bujak,</w:t>
      </w:r>
      <w:r w:rsidR="009C47E0" w:rsidRPr="009C47E0">
        <w:rPr>
          <w:rFonts w:ascii="Calibri" w:hAnsi="Calibri" w:cs="Arial"/>
          <w:vertAlign w:val="superscript"/>
        </w:rPr>
        <w:t>2</w:t>
      </w:r>
      <w:r>
        <w:rPr>
          <w:rFonts w:ascii="Calibri" w:hAnsi="Calibri" w:cs="Arial"/>
        </w:rPr>
        <w:t>Mojca Bavcon Kralj</w:t>
      </w:r>
      <w:r w:rsidRPr="002F135B">
        <w:rPr>
          <w:rFonts w:ascii="Calibri" w:hAnsi="Calibri" w:cs="Arial"/>
        </w:rPr>
        <w:t>,</w:t>
      </w:r>
      <w:r>
        <w:rPr>
          <w:rFonts w:ascii="Calibri" w:hAnsi="Calibri" w:cs="Arial"/>
          <w:vertAlign w:val="superscript"/>
        </w:rPr>
        <w:t>1</w:t>
      </w:r>
      <w:r w:rsidR="00A8578D">
        <w:rPr>
          <w:rFonts w:ascii="Calibri" w:hAnsi="Calibri" w:cs="Arial"/>
          <w:lang w:eastAsia="zh-CN"/>
        </w:rPr>
        <w:t>Dmitry Kosyakov</w:t>
      </w:r>
      <w:r w:rsidR="009C47E0" w:rsidRPr="009C47E0">
        <w:rPr>
          <w:rFonts w:ascii="Calibri" w:hAnsi="Calibri" w:cs="Arial"/>
          <w:vertAlign w:val="superscript"/>
          <w:lang w:eastAsia="zh-CN"/>
        </w:rPr>
        <w:t>3</w:t>
      </w:r>
      <w:r w:rsidR="00A8578D">
        <w:rPr>
          <w:rFonts w:ascii="Calibri" w:hAnsi="Calibri" w:cs="Arial"/>
          <w:lang w:eastAsia="zh-CN"/>
        </w:rPr>
        <w:t xml:space="preserve">, Nikolay </w:t>
      </w:r>
      <w:r w:rsidR="00A91E02" w:rsidRPr="00A91E02">
        <w:rPr>
          <w:rFonts w:ascii="Calibri" w:hAnsi="Calibri" w:cs="Arial"/>
          <w:highlight w:val="yellow"/>
          <w:lang w:eastAsia="zh-CN"/>
        </w:rPr>
        <w:t>Ul’yanovskii</w:t>
      </w:r>
      <w:r w:rsidR="009C47E0">
        <w:rPr>
          <w:rFonts w:ascii="Calibri" w:hAnsi="Calibri" w:cs="Arial"/>
          <w:vertAlign w:val="superscript"/>
        </w:rPr>
        <w:t>3</w:t>
      </w:r>
      <w:r w:rsidR="009C47E0" w:rsidRPr="009C47E0">
        <w:rPr>
          <w:rFonts w:ascii="Calibri" w:hAnsi="Calibri" w:cs="Arial"/>
        </w:rPr>
        <w:t>,</w:t>
      </w:r>
      <w:r w:rsidR="009C47E0">
        <w:rPr>
          <w:rFonts w:ascii="Calibri" w:hAnsi="Calibri" w:cs="Arial"/>
          <w:lang w:eastAsia="zh-CN"/>
        </w:rPr>
        <w:t>Albert Lebedev</w:t>
      </w:r>
      <w:r w:rsidR="001D3085" w:rsidRPr="001D3085">
        <w:rPr>
          <w:rFonts w:ascii="Calibri" w:hAnsi="Calibri" w:cs="Arial"/>
          <w:vertAlign w:val="superscript"/>
          <w:lang w:eastAsia="zh-CN"/>
        </w:rPr>
        <w:t>3,</w:t>
      </w:r>
      <w:r w:rsidR="009C47E0">
        <w:rPr>
          <w:rFonts w:ascii="Calibri" w:hAnsi="Calibri" w:cs="Arial"/>
          <w:vertAlign w:val="superscript"/>
        </w:rPr>
        <w:t xml:space="preserve">4 </w:t>
      </w:r>
    </w:p>
    <w:p w:rsidR="00BE0433" w:rsidRPr="005B7635" w:rsidRDefault="00BE0433" w:rsidP="00BE0433">
      <w:pPr>
        <w:pStyle w:val="Authors"/>
        <w:adjustRightInd w:val="0"/>
        <w:snapToGrid w:val="0"/>
        <w:rPr>
          <w:rStyle w:val="AuthorsafiiliationChar"/>
          <w:rFonts w:asciiTheme="majorHAnsi" w:hAnsiTheme="majorHAnsi" w:cs="Arial"/>
          <w:sz w:val="22"/>
          <w:szCs w:val="22"/>
        </w:rPr>
      </w:pPr>
      <w:r w:rsidRPr="005B7635">
        <w:rPr>
          <w:rFonts w:asciiTheme="majorHAnsi" w:hAnsiTheme="majorHAnsi" w:cs="Arial"/>
          <w:sz w:val="22"/>
          <w:szCs w:val="22"/>
          <w:vertAlign w:val="superscript"/>
        </w:rPr>
        <w:t>1</w:t>
      </w:r>
      <w:r w:rsidRPr="005B7635">
        <w:rPr>
          <w:rFonts w:asciiTheme="majorHAnsi" w:hAnsiTheme="majorHAnsi" w:cs="Arial"/>
          <w:i/>
          <w:sz w:val="22"/>
          <w:szCs w:val="22"/>
        </w:rPr>
        <w:t>University of Ljubljana, Faculty of Health Sciences</w:t>
      </w:r>
      <w:r w:rsidRPr="005B7635">
        <w:rPr>
          <w:rStyle w:val="AuthorsafiiliationChar"/>
          <w:rFonts w:asciiTheme="majorHAnsi" w:hAnsiTheme="majorHAnsi" w:cs="Arial"/>
          <w:sz w:val="22"/>
          <w:szCs w:val="22"/>
        </w:rPr>
        <w:t>, Ljubljana, Slovenia</w:t>
      </w:r>
    </w:p>
    <w:p w:rsidR="009C47E0" w:rsidRPr="005B7635" w:rsidRDefault="00A91E02" w:rsidP="009C47E0">
      <w:pPr>
        <w:pStyle w:val="Papertext"/>
        <w:jc w:val="center"/>
        <w:rPr>
          <w:rFonts w:asciiTheme="majorHAnsi" w:hAnsiTheme="majorHAnsi"/>
          <w:i/>
          <w:sz w:val="22"/>
          <w:szCs w:val="22"/>
        </w:rPr>
      </w:pPr>
      <w:r w:rsidRPr="00A91E02">
        <w:rPr>
          <w:rFonts w:asciiTheme="majorHAnsi" w:hAnsiTheme="majorHAnsi"/>
          <w:i/>
          <w:sz w:val="22"/>
          <w:szCs w:val="22"/>
          <w:highlight w:val="yellow"/>
          <w:vertAlign w:val="superscript"/>
        </w:rPr>
        <w:t>2</w:t>
      </w:r>
      <w:r w:rsidR="009C47E0" w:rsidRPr="005B7635">
        <w:rPr>
          <w:rFonts w:asciiTheme="majorHAnsi" w:hAnsiTheme="majorHAnsi"/>
          <w:i/>
          <w:sz w:val="22"/>
          <w:szCs w:val="22"/>
        </w:rPr>
        <w:t xml:space="preserve">Rudjer Bošković Institute, </w:t>
      </w:r>
      <w:r w:rsidR="009C47E0" w:rsidRPr="005B7635">
        <w:rPr>
          <w:rFonts w:asciiTheme="majorHAnsi" w:hAnsiTheme="majorHAnsi"/>
          <w:i/>
          <w:sz w:val="22"/>
          <w:szCs w:val="22"/>
          <w:lang w:val="en-GB"/>
        </w:rPr>
        <w:t xml:space="preserve">Division of Materials Chemistry, </w:t>
      </w:r>
      <w:r w:rsidR="0047740B" w:rsidRPr="005B7635">
        <w:rPr>
          <w:rFonts w:asciiTheme="majorHAnsi" w:hAnsiTheme="majorHAnsi"/>
          <w:i/>
          <w:sz w:val="22"/>
          <w:szCs w:val="22"/>
          <w:lang w:val="en-GB"/>
        </w:rPr>
        <w:t>Zagreb, Croatia</w:t>
      </w:r>
    </w:p>
    <w:p w:rsidR="00BE0433" w:rsidRPr="005B7635" w:rsidRDefault="00A91E02" w:rsidP="00BE0433">
      <w:pPr>
        <w:pStyle w:val="Papertext"/>
        <w:jc w:val="center"/>
        <w:rPr>
          <w:rFonts w:asciiTheme="majorHAnsi" w:hAnsiTheme="majorHAnsi" w:cs="Arial"/>
          <w:sz w:val="22"/>
          <w:szCs w:val="22"/>
          <w:vertAlign w:val="superscript"/>
        </w:rPr>
      </w:pPr>
      <w:r w:rsidRPr="00A91E02">
        <w:rPr>
          <w:rStyle w:val="AuthorsafiiliationChar"/>
          <w:rFonts w:asciiTheme="majorHAnsi" w:hAnsiTheme="majorHAnsi" w:cs="Arial"/>
          <w:sz w:val="22"/>
          <w:szCs w:val="22"/>
          <w:vertAlign w:val="superscript"/>
          <w:lang w:val="en-US"/>
        </w:rPr>
        <w:t>3</w:t>
      </w:r>
      <w:r w:rsidR="00A8578D" w:rsidRPr="005B7635">
        <w:rPr>
          <w:rStyle w:val="AuthorsafiiliationChar"/>
          <w:rFonts w:asciiTheme="majorHAnsi" w:hAnsiTheme="majorHAnsi" w:cs="Arial"/>
          <w:sz w:val="22"/>
          <w:szCs w:val="22"/>
        </w:rPr>
        <w:t xml:space="preserve">Northern </w:t>
      </w:r>
      <w:r w:rsidRPr="00A91E02">
        <w:rPr>
          <w:rStyle w:val="AuthorsafiiliationChar"/>
          <w:rFonts w:asciiTheme="majorHAnsi" w:hAnsiTheme="majorHAnsi" w:cs="Arial"/>
          <w:sz w:val="22"/>
          <w:szCs w:val="22"/>
        </w:rPr>
        <w:t>(</w:t>
      </w:r>
      <w:r w:rsidR="00A8578D" w:rsidRPr="005B7635">
        <w:rPr>
          <w:rStyle w:val="AuthorsafiiliationChar"/>
          <w:rFonts w:asciiTheme="majorHAnsi" w:hAnsiTheme="majorHAnsi" w:cs="Arial"/>
          <w:sz w:val="22"/>
          <w:szCs w:val="22"/>
        </w:rPr>
        <w:t>Arctic</w:t>
      </w:r>
      <w:r w:rsidRPr="00A91E02">
        <w:rPr>
          <w:rStyle w:val="AuthorsafiiliationChar"/>
          <w:rFonts w:asciiTheme="majorHAnsi" w:hAnsiTheme="majorHAnsi" w:cs="Arial"/>
          <w:sz w:val="22"/>
          <w:szCs w:val="22"/>
        </w:rPr>
        <w:t>)</w:t>
      </w:r>
      <w:r w:rsidR="00A8578D" w:rsidRPr="005B7635">
        <w:rPr>
          <w:rStyle w:val="AuthorsafiiliationChar"/>
          <w:rFonts w:asciiTheme="majorHAnsi" w:hAnsiTheme="majorHAnsi" w:cs="Arial"/>
          <w:sz w:val="22"/>
          <w:szCs w:val="22"/>
        </w:rPr>
        <w:t xml:space="preserve"> Federal University</w:t>
      </w:r>
      <w:r w:rsidR="00BE0433" w:rsidRPr="005B7635">
        <w:rPr>
          <w:rStyle w:val="AuthorsafiiliationChar"/>
          <w:rFonts w:asciiTheme="majorHAnsi" w:hAnsiTheme="majorHAnsi" w:cs="Arial"/>
          <w:sz w:val="22"/>
          <w:szCs w:val="22"/>
        </w:rPr>
        <w:t xml:space="preserve">, </w:t>
      </w:r>
      <w:r w:rsidR="00A8578D" w:rsidRPr="005B7635">
        <w:rPr>
          <w:rStyle w:val="AuthorsafiiliationChar"/>
          <w:rFonts w:asciiTheme="majorHAnsi" w:hAnsiTheme="majorHAnsi" w:cs="Arial"/>
          <w:sz w:val="22"/>
          <w:szCs w:val="22"/>
        </w:rPr>
        <w:t>Arkhangelsk</w:t>
      </w:r>
      <w:r w:rsidR="00BE0433" w:rsidRPr="005B7635">
        <w:rPr>
          <w:rStyle w:val="AuthorsafiiliationChar"/>
          <w:rFonts w:asciiTheme="majorHAnsi" w:hAnsiTheme="majorHAnsi" w:cs="Arial"/>
          <w:sz w:val="22"/>
          <w:szCs w:val="22"/>
        </w:rPr>
        <w:t xml:space="preserve">, </w:t>
      </w:r>
      <w:r w:rsidR="00A8578D" w:rsidRPr="005B7635">
        <w:rPr>
          <w:rStyle w:val="AuthorsafiiliationChar"/>
          <w:rFonts w:asciiTheme="majorHAnsi" w:hAnsiTheme="majorHAnsi" w:cs="Arial"/>
          <w:sz w:val="22"/>
          <w:szCs w:val="22"/>
        </w:rPr>
        <w:t>Russia</w:t>
      </w:r>
    </w:p>
    <w:p w:rsidR="009C47E0" w:rsidRPr="005B7635" w:rsidRDefault="00A91E02" w:rsidP="009C47E0">
      <w:pPr>
        <w:pStyle w:val="Papertext"/>
        <w:jc w:val="center"/>
        <w:rPr>
          <w:rStyle w:val="AuthorsafiiliationChar"/>
          <w:rFonts w:asciiTheme="majorHAnsi" w:hAnsiTheme="majorHAnsi" w:cs="Arial"/>
          <w:sz w:val="22"/>
          <w:szCs w:val="22"/>
        </w:rPr>
      </w:pPr>
      <w:r w:rsidRPr="00A91E02">
        <w:rPr>
          <w:rFonts w:asciiTheme="majorHAnsi" w:hAnsiTheme="majorHAnsi" w:cs="Arial"/>
          <w:sz w:val="22"/>
          <w:szCs w:val="22"/>
          <w:highlight w:val="yellow"/>
          <w:vertAlign w:val="superscript"/>
        </w:rPr>
        <w:t>4</w:t>
      </w:r>
      <w:r w:rsidR="009C47E0" w:rsidRPr="005B7635">
        <w:rPr>
          <w:rFonts w:asciiTheme="majorHAnsi" w:hAnsiTheme="majorHAnsi" w:cs="Arial"/>
          <w:i/>
          <w:sz w:val="22"/>
          <w:szCs w:val="22"/>
        </w:rPr>
        <w:t>Moscow State University</w:t>
      </w:r>
      <w:r w:rsidR="009C47E0" w:rsidRPr="005B7635">
        <w:rPr>
          <w:rStyle w:val="AuthorsafiiliationChar"/>
          <w:rFonts w:asciiTheme="majorHAnsi" w:hAnsiTheme="majorHAnsi" w:cs="Arial"/>
          <w:sz w:val="22"/>
          <w:szCs w:val="22"/>
        </w:rPr>
        <w:t>, Department of Chemistry, Moscow, Russia</w:t>
      </w:r>
    </w:p>
    <w:p w:rsidR="00BE0433" w:rsidRPr="002F135B" w:rsidRDefault="00BE0433" w:rsidP="00BE0433">
      <w:pPr>
        <w:pStyle w:val="Authors"/>
        <w:rPr>
          <w:rFonts w:ascii="Calibri" w:hAnsi="Calibri" w:cs="Arial"/>
          <w:sz w:val="22"/>
          <w:szCs w:val="22"/>
          <w:lang w:eastAsia="zh-CN"/>
        </w:rPr>
      </w:pPr>
    </w:p>
    <w:p w:rsidR="00BE0433" w:rsidRDefault="00BE0433" w:rsidP="00BE0433">
      <w:pPr>
        <w:pStyle w:val="Papertext"/>
        <w:jc w:val="center"/>
        <w:rPr>
          <w:rFonts w:ascii="Calibri" w:hAnsi="Calibri" w:cs="Arial"/>
          <w:sz w:val="22"/>
          <w:szCs w:val="22"/>
          <w:lang w:val="hr-HR" w:eastAsia="zh-CN"/>
        </w:rPr>
      </w:pPr>
      <w:r w:rsidRPr="002F135B">
        <w:rPr>
          <w:rFonts w:ascii="Calibri" w:hAnsi="Calibri" w:cs="Arial"/>
          <w:sz w:val="22"/>
          <w:szCs w:val="22"/>
          <w:lang w:val="hr-HR" w:eastAsia="zh-CN"/>
        </w:rPr>
        <w:t xml:space="preserve">E-mail: </w:t>
      </w:r>
      <w:hyperlink r:id="rId6" w:history="1">
        <w:r w:rsidRPr="00D513CC">
          <w:rPr>
            <w:rStyle w:val="Hyperlink"/>
            <w:rFonts w:ascii="Calibri" w:hAnsi="Calibri" w:cs="Arial"/>
            <w:sz w:val="22"/>
            <w:szCs w:val="22"/>
          </w:rPr>
          <w:t>Polonca.trebse@zf.uni-lj.si</w:t>
        </w:r>
      </w:hyperlink>
    </w:p>
    <w:p w:rsidR="00BE0433" w:rsidRPr="00BE0433" w:rsidRDefault="00BE0433" w:rsidP="00BE0433">
      <w:pPr>
        <w:pStyle w:val="Papertext"/>
        <w:jc w:val="center"/>
        <w:rPr>
          <w:rFonts w:ascii="Calibri" w:hAnsi="Calibri" w:cs="Arial"/>
          <w:sz w:val="22"/>
          <w:szCs w:val="22"/>
          <w:lang w:val="hr-HR" w:eastAsia="zh-CN"/>
        </w:rPr>
      </w:pPr>
    </w:p>
    <w:p w:rsidR="009C2640" w:rsidRPr="000B6FBA" w:rsidRDefault="009C2640" w:rsidP="009C2640">
      <w:pPr>
        <w:jc w:val="both"/>
        <w:rPr>
          <w:rFonts w:asciiTheme="minorHAnsi" w:hAnsiTheme="minorHAnsi"/>
        </w:rPr>
      </w:pPr>
      <w:r w:rsidRPr="000B6FBA">
        <w:rPr>
          <w:rFonts w:asciiTheme="minorHAnsi" w:hAnsiTheme="minorHAnsi"/>
        </w:rPr>
        <w:t>Th</w:t>
      </w:r>
      <w:r w:rsidR="004D1DC5" w:rsidRPr="000B6FBA">
        <w:rPr>
          <w:rFonts w:asciiTheme="minorHAnsi" w:hAnsiTheme="minorHAnsi"/>
        </w:rPr>
        <w:t>e</w:t>
      </w:r>
      <w:r w:rsidR="000B6FBA" w:rsidRPr="000B6FBA">
        <w:rPr>
          <w:rFonts w:asciiTheme="minorHAnsi" w:hAnsiTheme="minorHAnsi"/>
        </w:rPr>
        <w:t xml:space="preserve"> </w:t>
      </w:r>
      <w:r w:rsidR="004D1DC5" w:rsidRPr="000B6FBA">
        <w:rPr>
          <w:rFonts w:asciiTheme="minorHAnsi" w:hAnsiTheme="minorHAnsi"/>
        </w:rPr>
        <w:t xml:space="preserve">group of </w:t>
      </w:r>
      <w:r w:rsidRPr="000B6FBA">
        <w:rPr>
          <w:rFonts w:asciiTheme="minorHAnsi" w:hAnsiTheme="minorHAnsi"/>
        </w:rPr>
        <w:t>new pollutants</w:t>
      </w:r>
      <w:r w:rsidR="004D1DC5" w:rsidRPr="000B6FBA">
        <w:rPr>
          <w:rFonts w:asciiTheme="minorHAnsi" w:hAnsiTheme="minorHAnsi"/>
        </w:rPr>
        <w:t>, so called emerging pollutants,</w:t>
      </w:r>
      <w:r w:rsidRPr="000B6FBA">
        <w:rPr>
          <w:rFonts w:asciiTheme="minorHAnsi" w:hAnsiTheme="minorHAnsi"/>
        </w:rPr>
        <w:t xml:space="preserve"> includes diverse groups of pharmaceuticals and pharmaceutical active substances used in human and veterinary medicine (such as painkillers, antibiotics, hormones, anti-inflammatory drugs, lipid regulators, beta bolckers, anti-cancer drugs) and personal care products. Continuous release of pharmaceuticals to the environment as complex mixtures can result in higher concentrations, long-term and negative effects on aquatic and terrestrial organisms. For these reasons biological, physical and chemical methods have been developed for removal of pharmaceuticals from aqueous solution. </w:t>
      </w:r>
    </w:p>
    <w:p w:rsidR="004D1DC5" w:rsidRPr="000B6FBA" w:rsidRDefault="004D1DC5" w:rsidP="004D1DC5">
      <w:pPr>
        <w:jc w:val="both"/>
        <w:rPr>
          <w:rFonts w:asciiTheme="minorHAnsi" w:hAnsiTheme="minorHAnsi"/>
          <w:lang w:val="en-GB"/>
        </w:rPr>
      </w:pPr>
      <w:r w:rsidRPr="000B6FBA">
        <w:rPr>
          <w:rFonts w:asciiTheme="minorHAnsi" w:hAnsiTheme="minorHAnsi"/>
          <w:lang w:val="en-GB"/>
        </w:rPr>
        <w:tab/>
        <w:t xml:space="preserve">Doxazosin, a selective alpha blocker, is widely used in medical therapy as an effective antihypertensive agent. It is very frequently prescribed drug and for this reason, environmental and ecotoxicological research is of great importance in terms of exposure and risk for both aquatic species and humans. </w:t>
      </w:r>
      <w:r w:rsidRPr="000B6FBA">
        <w:rPr>
          <w:rFonts w:asciiTheme="minorHAnsi" w:hAnsiTheme="minorHAnsi"/>
          <w:lang w:val="en-GB" w:eastAsia="sl-SI"/>
        </w:rPr>
        <w:t>In this study we focused on photolytic and TiO</w:t>
      </w:r>
      <w:r w:rsidRPr="000B6FBA">
        <w:rPr>
          <w:rFonts w:asciiTheme="minorHAnsi" w:hAnsiTheme="minorHAnsi"/>
          <w:vertAlign w:val="subscript"/>
          <w:lang w:val="en-GB" w:eastAsia="sl-SI"/>
        </w:rPr>
        <w:t>2</w:t>
      </w:r>
      <w:r w:rsidRPr="000B6FBA">
        <w:rPr>
          <w:rFonts w:asciiTheme="minorHAnsi" w:hAnsiTheme="minorHAnsi"/>
          <w:lang w:val="en-GB" w:eastAsia="sl-SI"/>
        </w:rPr>
        <w:t xml:space="preserve"> photocatalytic degradation processes of doxazosin under different simulated conditions, with the emphasis on identification of degradation products.</w:t>
      </w:r>
    </w:p>
    <w:p w:rsidR="00EB339E" w:rsidRPr="000B6FBA" w:rsidRDefault="007A3CD9" w:rsidP="00EB339E">
      <w:pPr>
        <w:jc w:val="both"/>
        <w:rPr>
          <w:rFonts w:asciiTheme="minorHAnsi" w:hAnsiTheme="minorHAnsi"/>
        </w:rPr>
      </w:pPr>
      <w:r w:rsidRPr="000B6FBA">
        <w:rPr>
          <w:rFonts w:asciiTheme="minorHAnsi" w:hAnsiTheme="minorHAnsi"/>
          <w:lang w:val="en-GB"/>
        </w:rPr>
        <w:tab/>
      </w:r>
      <w:r w:rsidR="004D1DC5" w:rsidRPr="000B6FBA">
        <w:rPr>
          <w:rFonts w:asciiTheme="minorHAnsi" w:hAnsiTheme="minorHAnsi"/>
        </w:rPr>
        <w:t>TiO</w:t>
      </w:r>
      <w:r w:rsidR="004D1DC5" w:rsidRPr="000B6FBA">
        <w:rPr>
          <w:rFonts w:asciiTheme="minorHAnsi" w:hAnsiTheme="minorHAnsi"/>
          <w:vertAlign w:val="subscript"/>
        </w:rPr>
        <w:t>2</w:t>
      </w:r>
      <w:r w:rsidR="004D1DC5" w:rsidRPr="000B6FBA">
        <w:rPr>
          <w:rFonts w:asciiTheme="minorHAnsi" w:hAnsiTheme="minorHAnsi"/>
        </w:rPr>
        <w:t xml:space="preserve"> photocatalytic and photolytic (without TiO</w:t>
      </w:r>
      <w:r w:rsidR="004D1DC5" w:rsidRPr="000B6FBA">
        <w:rPr>
          <w:rFonts w:asciiTheme="minorHAnsi" w:hAnsiTheme="minorHAnsi"/>
          <w:vertAlign w:val="subscript"/>
        </w:rPr>
        <w:t>2</w:t>
      </w:r>
      <w:r w:rsidR="004D1DC5" w:rsidRPr="000B6FBA">
        <w:rPr>
          <w:rFonts w:asciiTheme="minorHAnsi" w:hAnsiTheme="minorHAnsi"/>
        </w:rPr>
        <w:t>) experiments were performed in photoreactor equipped with polychromatic low-pressure mercury lamps (</w:t>
      </w:r>
      <w:r w:rsidR="004D1DC5" w:rsidRPr="000B6FBA">
        <w:rPr>
          <w:rFonts w:asciiTheme="minorHAnsi" w:hAnsiTheme="minorHAnsi"/>
          <w:lang w:val="sl-SI" w:eastAsia="sl-SI"/>
        </w:rPr>
        <w:t>1.6 mW/cm</w:t>
      </w:r>
      <w:r w:rsidR="004D1DC5" w:rsidRPr="000B6FBA">
        <w:rPr>
          <w:rFonts w:asciiTheme="minorHAnsi" w:hAnsiTheme="minorHAnsi"/>
          <w:vertAlign w:val="superscript"/>
          <w:lang w:val="sl-SI" w:eastAsia="sl-SI"/>
        </w:rPr>
        <w:t xml:space="preserve">2 </w:t>
      </w:r>
      <w:r w:rsidR="004D1DC5" w:rsidRPr="000B6FBA">
        <w:rPr>
          <w:rFonts w:asciiTheme="minorHAnsi" w:hAnsiTheme="minorHAnsi"/>
          <w:lang w:val="sl-SI" w:eastAsia="sl-SI"/>
        </w:rPr>
        <w:t>of UVA (300 - 400 nm))</w:t>
      </w:r>
      <w:r w:rsidR="004D1DC5" w:rsidRPr="000B6FBA">
        <w:rPr>
          <w:rFonts w:asciiTheme="minorHAnsi" w:hAnsiTheme="minorHAnsi"/>
        </w:rPr>
        <w:t xml:space="preserve"> as well as with UVC gemicidal</w:t>
      </w:r>
      <w:r w:rsidR="004664A5" w:rsidRPr="000B6FBA">
        <w:rPr>
          <w:rFonts w:asciiTheme="minorHAnsi" w:hAnsiTheme="minorHAnsi"/>
        </w:rPr>
        <w:t xml:space="preserve"> </w:t>
      </w:r>
      <w:r w:rsidR="004D1DC5" w:rsidRPr="000B6FBA">
        <w:rPr>
          <w:rFonts w:asciiTheme="minorHAnsi" w:hAnsiTheme="minorHAnsi"/>
        </w:rPr>
        <w:t xml:space="preserve">lamps (254 nm). In the case of photolytic experiments, doxazosin aqueous solution was irradiated for </w:t>
      </w:r>
      <w:r w:rsidR="001D3085" w:rsidRPr="000B6FBA">
        <w:rPr>
          <w:rFonts w:asciiTheme="minorHAnsi" w:hAnsiTheme="minorHAnsi"/>
        </w:rPr>
        <w:t>120 min</w:t>
      </w:r>
      <w:r w:rsidR="004D1DC5" w:rsidRPr="000B6FBA">
        <w:rPr>
          <w:rFonts w:asciiTheme="minorHAnsi" w:hAnsiTheme="minorHAnsi"/>
        </w:rPr>
        <w:t xml:space="preserve"> in the presence and </w:t>
      </w:r>
      <w:r w:rsidR="000B6FBA">
        <w:rPr>
          <w:rFonts w:asciiTheme="minorHAnsi" w:hAnsiTheme="minorHAnsi"/>
        </w:rPr>
        <w:t>absen</w:t>
      </w:r>
      <w:r w:rsidR="000B6FBA">
        <w:rPr>
          <w:rFonts w:asciiTheme="minorHAnsi" w:hAnsiTheme="minorHAnsi"/>
          <w:lang w:val="ru-RU"/>
        </w:rPr>
        <w:t>с</w:t>
      </w:r>
      <w:r w:rsidR="004D1DC5" w:rsidRPr="000B6FBA">
        <w:rPr>
          <w:rFonts w:asciiTheme="minorHAnsi" w:hAnsiTheme="minorHAnsi"/>
        </w:rPr>
        <w:t>e</w:t>
      </w:r>
      <w:r w:rsidR="004664A5" w:rsidRPr="000B6FBA">
        <w:rPr>
          <w:rFonts w:asciiTheme="minorHAnsi" w:hAnsiTheme="minorHAnsi"/>
        </w:rPr>
        <w:t xml:space="preserve"> </w:t>
      </w:r>
      <w:r w:rsidR="004D1DC5" w:rsidRPr="000B6FBA">
        <w:rPr>
          <w:rFonts w:asciiTheme="minorHAnsi" w:hAnsiTheme="minorHAnsi"/>
        </w:rPr>
        <w:t xml:space="preserve">of oxygen, while photocatalytic degradation of doxazosin aqueous solution have been carried out under constant oxygen flow. Selected </w:t>
      </w:r>
      <w:r w:rsidR="004D1DC5" w:rsidRPr="000B6FBA">
        <w:rPr>
          <w:rFonts w:asciiTheme="minorHAnsi" w:hAnsiTheme="minorHAnsi"/>
          <w:lang w:eastAsia="sl-SI"/>
        </w:rPr>
        <w:t>samples have been further concentrated for analysis</w:t>
      </w:r>
      <w:r w:rsidR="00F8653E" w:rsidRPr="000B6FBA">
        <w:rPr>
          <w:rFonts w:asciiTheme="minorHAnsi" w:hAnsiTheme="minorHAnsi"/>
          <w:lang w:eastAsia="sl-SI"/>
        </w:rPr>
        <w:t xml:space="preserve">. LC-MS/MS was conducted </w:t>
      </w:r>
      <w:r w:rsidR="00A91E02" w:rsidRPr="000B6FBA">
        <w:rPr>
          <w:rFonts w:asciiTheme="minorHAnsi" w:hAnsiTheme="minorHAnsi"/>
          <w:lang w:eastAsia="sl-SI"/>
        </w:rPr>
        <w:t xml:space="preserve">using a </w:t>
      </w:r>
      <w:r w:rsidR="003875E2" w:rsidRPr="000B6FBA">
        <w:rPr>
          <w:rFonts w:asciiTheme="minorHAnsi" w:hAnsiTheme="minorHAnsi"/>
          <w:lang w:eastAsia="sl-SI"/>
        </w:rPr>
        <w:t>high-resolution</w:t>
      </w:r>
      <w:r w:rsidR="00A91E02" w:rsidRPr="000B6FBA">
        <w:rPr>
          <w:rFonts w:asciiTheme="minorHAnsi" w:hAnsiTheme="minorHAnsi"/>
          <w:lang w:eastAsia="sl-SI"/>
        </w:rPr>
        <w:t xml:space="preserve"> quadrupole</w:t>
      </w:r>
      <w:r w:rsidR="007D000B" w:rsidRPr="000B6FBA">
        <w:rPr>
          <w:rFonts w:asciiTheme="minorHAnsi" w:hAnsiTheme="minorHAnsi"/>
          <w:lang w:eastAsia="sl-SI"/>
        </w:rPr>
        <w:t>-</w:t>
      </w:r>
      <w:r w:rsidR="00A91E02" w:rsidRPr="000B6FBA">
        <w:rPr>
          <w:rFonts w:asciiTheme="minorHAnsi" w:hAnsiTheme="minorHAnsi"/>
          <w:lang w:eastAsia="sl-SI"/>
        </w:rPr>
        <w:t xml:space="preserve">time-of-flight mass spectrometer TripleTOF 5600+ (Sciex, Canada). The separation of products was </w:t>
      </w:r>
      <w:r w:rsidR="00F8653E" w:rsidRPr="000B6FBA">
        <w:rPr>
          <w:rFonts w:asciiTheme="minorHAnsi" w:hAnsiTheme="minorHAnsi"/>
          <w:lang w:eastAsia="sl-SI"/>
        </w:rPr>
        <w:t>a</w:t>
      </w:r>
      <w:r w:rsidR="00EB4409">
        <w:rPr>
          <w:rFonts w:asciiTheme="minorHAnsi" w:hAnsiTheme="minorHAnsi"/>
          <w:lang w:val="ru-RU" w:eastAsia="sl-SI"/>
        </w:rPr>
        <w:t>с</w:t>
      </w:r>
      <w:r w:rsidR="00F8653E" w:rsidRPr="000B6FBA">
        <w:rPr>
          <w:rFonts w:asciiTheme="minorHAnsi" w:hAnsiTheme="minorHAnsi"/>
          <w:lang w:eastAsia="sl-SI"/>
        </w:rPr>
        <w:t>hieved</w:t>
      </w:r>
      <w:r w:rsidR="00EB4409" w:rsidRPr="00EB4409">
        <w:rPr>
          <w:rFonts w:asciiTheme="minorHAnsi" w:hAnsiTheme="minorHAnsi"/>
          <w:lang w:eastAsia="sl-SI"/>
        </w:rPr>
        <w:t xml:space="preserve"> </w:t>
      </w:r>
      <w:r w:rsidR="00F8653E" w:rsidRPr="000B6FBA">
        <w:rPr>
          <w:rFonts w:asciiTheme="minorHAnsi" w:hAnsiTheme="minorHAnsi"/>
          <w:lang w:eastAsia="sl-SI"/>
        </w:rPr>
        <w:t>by</w:t>
      </w:r>
      <w:r w:rsidR="00A91E02" w:rsidRPr="000B6FBA">
        <w:rPr>
          <w:rFonts w:asciiTheme="minorHAnsi" w:hAnsiTheme="minorHAnsi"/>
          <w:lang w:eastAsia="sl-SI"/>
        </w:rPr>
        <w:t xml:space="preserve"> reverse</w:t>
      </w:r>
      <w:r w:rsidR="00F8653E" w:rsidRPr="000B6FBA">
        <w:rPr>
          <w:rFonts w:asciiTheme="minorHAnsi" w:hAnsiTheme="minorHAnsi"/>
          <w:lang w:eastAsia="sl-SI"/>
        </w:rPr>
        <w:t>d</w:t>
      </w:r>
      <w:r w:rsidR="00A91E02" w:rsidRPr="000B6FBA">
        <w:rPr>
          <w:rFonts w:asciiTheme="minorHAnsi" w:hAnsiTheme="minorHAnsi"/>
          <w:lang w:eastAsia="sl-SI"/>
        </w:rPr>
        <w:t xml:space="preserve"> phase </w:t>
      </w:r>
      <w:r w:rsidR="00F8653E" w:rsidRPr="000B6FBA">
        <w:rPr>
          <w:rFonts w:asciiTheme="minorHAnsi" w:hAnsiTheme="minorHAnsi"/>
          <w:lang w:eastAsia="sl-SI"/>
        </w:rPr>
        <w:t xml:space="preserve">liquid </w:t>
      </w:r>
      <w:r w:rsidR="00A91E02" w:rsidRPr="000B6FBA">
        <w:rPr>
          <w:rFonts w:asciiTheme="minorHAnsi" w:hAnsiTheme="minorHAnsi"/>
          <w:lang w:eastAsia="sl-SI"/>
        </w:rPr>
        <w:t>chromatography in a gradient</w:t>
      </w:r>
      <w:r w:rsidR="00F8653E" w:rsidRPr="000B6FBA">
        <w:rPr>
          <w:rFonts w:asciiTheme="minorHAnsi" w:hAnsiTheme="minorHAnsi"/>
          <w:lang w:eastAsia="sl-SI"/>
        </w:rPr>
        <w:t xml:space="preserve"> elution</w:t>
      </w:r>
      <w:r w:rsidR="00A91E02" w:rsidRPr="000B6FBA">
        <w:rPr>
          <w:rFonts w:asciiTheme="minorHAnsi" w:hAnsiTheme="minorHAnsi"/>
          <w:lang w:eastAsia="sl-SI"/>
        </w:rPr>
        <w:t xml:space="preserve"> mode</w:t>
      </w:r>
      <w:r w:rsidR="007D000B" w:rsidRPr="000B6FBA">
        <w:rPr>
          <w:rFonts w:asciiTheme="minorHAnsi" w:hAnsiTheme="minorHAnsi"/>
          <w:lang w:eastAsia="sl-SI"/>
        </w:rPr>
        <w:t xml:space="preserve">. </w:t>
      </w:r>
      <w:r w:rsidR="003875E2" w:rsidRPr="000B6FBA">
        <w:rPr>
          <w:rFonts w:asciiTheme="minorHAnsi" w:hAnsiTheme="minorHAnsi"/>
          <w:lang w:eastAsia="sl-SI"/>
        </w:rPr>
        <w:t xml:space="preserve">Ionization was carried out in the positive electrospray mode with </w:t>
      </w:r>
      <w:bookmarkStart w:id="0" w:name="_GoBack"/>
      <w:bookmarkEnd w:id="0"/>
      <w:r w:rsidR="003875E2" w:rsidRPr="000B6FBA">
        <w:rPr>
          <w:rFonts w:asciiTheme="minorHAnsi" w:hAnsiTheme="minorHAnsi"/>
          <w:lang w:eastAsia="sl-SI"/>
        </w:rPr>
        <w:t>further detection by Information Dependent Acquisition (IDA) scanning.  This approach allowed observ</w:t>
      </w:r>
      <w:r w:rsidR="00F8653E" w:rsidRPr="000B6FBA">
        <w:rPr>
          <w:rFonts w:asciiTheme="minorHAnsi" w:hAnsiTheme="minorHAnsi"/>
          <w:lang w:eastAsia="sl-SI"/>
        </w:rPr>
        <w:t>ing</w:t>
      </w:r>
      <w:r w:rsidR="003875E2" w:rsidRPr="000B6FBA">
        <w:rPr>
          <w:rFonts w:asciiTheme="minorHAnsi" w:hAnsiTheme="minorHAnsi"/>
          <w:lang w:eastAsia="sl-SI"/>
        </w:rPr>
        <w:t xml:space="preserve"> the formation of several major degradation products depending on the reaction conditions (presence</w:t>
      </w:r>
      <w:r w:rsidR="00F8653E" w:rsidRPr="000B6FBA">
        <w:rPr>
          <w:rFonts w:asciiTheme="minorHAnsi" w:hAnsiTheme="minorHAnsi"/>
          <w:lang w:eastAsia="sl-SI"/>
        </w:rPr>
        <w:t xml:space="preserve"> or</w:t>
      </w:r>
      <w:r w:rsidR="003875E2" w:rsidRPr="000B6FBA">
        <w:rPr>
          <w:rFonts w:asciiTheme="minorHAnsi" w:hAnsiTheme="minorHAnsi"/>
          <w:lang w:eastAsia="sl-SI"/>
        </w:rPr>
        <w:t xml:space="preserve"> absence of oxygen, photocatalysis).</w:t>
      </w:r>
      <w:r w:rsidR="00EB339E" w:rsidRPr="000B6FBA">
        <w:rPr>
          <w:rFonts w:asciiTheme="minorHAnsi" w:hAnsiTheme="minorHAnsi"/>
          <w:lang w:eastAsia="sl-SI"/>
        </w:rPr>
        <w:t xml:space="preserve"> Based on the exact masses, isotopic distribution, fragmentation pathways, and elemental composition</w:t>
      </w:r>
      <w:r w:rsidR="00F8653E" w:rsidRPr="000B6FBA">
        <w:rPr>
          <w:rFonts w:asciiTheme="minorHAnsi" w:hAnsiTheme="minorHAnsi"/>
          <w:lang w:eastAsia="sl-SI"/>
        </w:rPr>
        <w:t>s</w:t>
      </w:r>
      <w:r w:rsidR="00EB339E" w:rsidRPr="000B6FBA">
        <w:rPr>
          <w:rFonts w:asciiTheme="minorHAnsi" w:hAnsiTheme="minorHAnsi"/>
          <w:lang w:eastAsia="sl-SI"/>
        </w:rPr>
        <w:t xml:space="preserve"> of the ions in </w:t>
      </w:r>
      <w:r w:rsidR="00F8653E" w:rsidRPr="000B6FBA">
        <w:rPr>
          <w:rFonts w:asciiTheme="minorHAnsi" w:hAnsiTheme="minorHAnsi"/>
          <w:lang w:eastAsia="sl-SI"/>
        </w:rPr>
        <w:t xml:space="preserve">the </w:t>
      </w:r>
      <w:r w:rsidR="00EB339E" w:rsidRPr="000B6FBA">
        <w:rPr>
          <w:rFonts w:asciiTheme="minorHAnsi" w:hAnsiTheme="minorHAnsi"/>
          <w:lang w:eastAsia="sl-SI"/>
        </w:rPr>
        <w:t>mass spec</w:t>
      </w:r>
      <w:r w:rsidR="00F8653E" w:rsidRPr="000B6FBA">
        <w:rPr>
          <w:rFonts w:asciiTheme="minorHAnsi" w:hAnsiTheme="minorHAnsi"/>
          <w:lang w:eastAsia="sl-SI"/>
        </w:rPr>
        <w:t>t</w:t>
      </w:r>
      <w:r w:rsidR="00EB339E" w:rsidRPr="000B6FBA">
        <w:rPr>
          <w:rFonts w:asciiTheme="minorHAnsi" w:hAnsiTheme="minorHAnsi"/>
          <w:lang w:eastAsia="sl-SI"/>
        </w:rPr>
        <w:t>rum, the transformation products were identified</w:t>
      </w:r>
      <w:r w:rsidR="00F8653E" w:rsidRPr="000B6FBA">
        <w:rPr>
          <w:rFonts w:asciiTheme="minorHAnsi" w:hAnsiTheme="minorHAnsi"/>
          <w:lang w:eastAsia="sl-SI"/>
        </w:rPr>
        <w:t>.</w:t>
      </w:r>
      <w:r w:rsidR="004664A5" w:rsidRPr="000B6FBA">
        <w:rPr>
          <w:rFonts w:asciiTheme="minorHAnsi" w:hAnsiTheme="minorHAnsi"/>
          <w:lang w:eastAsia="sl-SI"/>
        </w:rPr>
        <w:t xml:space="preserve"> </w:t>
      </w:r>
      <w:r w:rsidR="00F8653E" w:rsidRPr="000B6FBA">
        <w:rPr>
          <w:rFonts w:asciiTheme="minorHAnsi" w:hAnsiTheme="minorHAnsi"/>
          <w:lang w:eastAsia="sl-SI"/>
        </w:rPr>
        <w:t>Among them, C</w:t>
      </w:r>
      <w:r w:rsidR="00F8653E" w:rsidRPr="000B6FBA">
        <w:rPr>
          <w:rFonts w:asciiTheme="minorHAnsi" w:hAnsiTheme="minorHAnsi"/>
          <w:vertAlign w:val="subscript"/>
          <w:lang w:eastAsia="sl-SI"/>
        </w:rPr>
        <w:t>17</w:t>
      </w:r>
      <w:r w:rsidR="00F8653E" w:rsidRPr="000B6FBA">
        <w:rPr>
          <w:rFonts w:asciiTheme="minorHAnsi" w:hAnsiTheme="minorHAnsi"/>
          <w:lang w:eastAsia="sl-SI"/>
        </w:rPr>
        <w:t>H</w:t>
      </w:r>
      <w:r w:rsidR="00F8653E" w:rsidRPr="000B6FBA">
        <w:rPr>
          <w:rFonts w:asciiTheme="minorHAnsi" w:hAnsiTheme="minorHAnsi"/>
          <w:vertAlign w:val="subscript"/>
          <w:lang w:eastAsia="sl-SI"/>
        </w:rPr>
        <w:t>21</w:t>
      </w:r>
      <w:r w:rsidR="00F8653E" w:rsidRPr="000B6FBA">
        <w:rPr>
          <w:rFonts w:asciiTheme="minorHAnsi" w:hAnsiTheme="minorHAnsi"/>
          <w:lang w:eastAsia="sl-SI"/>
        </w:rPr>
        <w:t>N</w:t>
      </w:r>
      <w:r w:rsidR="00F8653E" w:rsidRPr="000B6FBA">
        <w:rPr>
          <w:rFonts w:asciiTheme="minorHAnsi" w:hAnsiTheme="minorHAnsi"/>
          <w:vertAlign w:val="subscript"/>
          <w:lang w:eastAsia="sl-SI"/>
        </w:rPr>
        <w:t>5</w:t>
      </w:r>
      <w:r w:rsidR="00F8653E" w:rsidRPr="000B6FBA">
        <w:rPr>
          <w:rFonts w:asciiTheme="minorHAnsi" w:hAnsiTheme="minorHAnsi"/>
          <w:lang w:eastAsia="sl-SI"/>
        </w:rPr>
        <w:t>O</w:t>
      </w:r>
      <w:r w:rsidR="00F8653E" w:rsidRPr="000B6FBA">
        <w:rPr>
          <w:rFonts w:asciiTheme="minorHAnsi" w:hAnsiTheme="minorHAnsi"/>
          <w:vertAlign w:val="subscript"/>
          <w:lang w:eastAsia="sl-SI"/>
        </w:rPr>
        <w:t>3</w:t>
      </w:r>
      <w:r w:rsidR="00F8653E" w:rsidRPr="000B6FBA">
        <w:rPr>
          <w:rFonts w:asciiTheme="minorHAnsi" w:hAnsiTheme="minorHAnsi"/>
          <w:lang w:eastAsia="sl-SI"/>
        </w:rPr>
        <w:t xml:space="preserve"> and C</w:t>
      </w:r>
      <w:r w:rsidR="00F8653E" w:rsidRPr="000B6FBA">
        <w:rPr>
          <w:rFonts w:asciiTheme="minorHAnsi" w:hAnsiTheme="minorHAnsi"/>
          <w:vertAlign w:val="subscript"/>
          <w:lang w:eastAsia="sl-SI"/>
        </w:rPr>
        <w:t>17</w:t>
      </w:r>
      <w:r w:rsidR="00F8653E" w:rsidRPr="000B6FBA">
        <w:rPr>
          <w:rFonts w:asciiTheme="minorHAnsi" w:hAnsiTheme="minorHAnsi"/>
          <w:lang w:eastAsia="sl-SI"/>
        </w:rPr>
        <w:t>H</w:t>
      </w:r>
      <w:r w:rsidR="00F8653E" w:rsidRPr="000B6FBA">
        <w:rPr>
          <w:rFonts w:asciiTheme="minorHAnsi" w:hAnsiTheme="minorHAnsi"/>
          <w:vertAlign w:val="subscript"/>
          <w:lang w:eastAsia="sl-SI"/>
        </w:rPr>
        <w:t>23</w:t>
      </w:r>
      <w:r w:rsidR="00F8653E" w:rsidRPr="000B6FBA">
        <w:rPr>
          <w:rFonts w:asciiTheme="minorHAnsi" w:hAnsiTheme="minorHAnsi"/>
          <w:lang w:eastAsia="sl-SI"/>
        </w:rPr>
        <w:t>N</w:t>
      </w:r>
      <w:r w:rsidR="00F8653E" w:rsidRPr="000B6FBA">
        <w:rPr>
          <w:rFonts w:asciiTheme="minorHAnsi" w:hAnsiTheme="minorHAnsi"/>
          <w:vertAlign w:val="subscript"/>
          <w:lang w:eastAsia="sl-SI"/>
        </w:rPr>
        <w:t>5</w:t>
      </w:r>
      <w:r w:rsidR="00F8653E" w:rsidRPr="000B6FBA">
        <w:rPr>
          <w:rFonts w:asciiTheme="minorHAnsi" w:hAnsiTheme="minorHAnsi"/>
          <w:lang w:eastAsia="sl-SI"/>
        </w:rPr>
        <w:t>O</w:t>
      </w:r>
      <w:r w:rsidR="00F8653E" w:rsidRPr="000B6FBA">
        <w:rPr>
          <w:rFonts w:asciiTheme="minorHAnsi" w:hAnsiTheme="minorHAnsi"/>
          <w:vertAlign w:val="subscript"/>
          <w:lang w:eastAsia="sl-SI"/>
        </w:rPr>
        <w:t>4</w:t>
      </w:r>
      <w:r w:rsidR="00F8653E" w:rsidRPr="000B6FBA">
        <w:rPr>
          <w:rFonts w:asciiTheme="minorHAnsi" w:hAnsiTheme="minorHAnsi"/>
          <w:lang w:eastAsia="sl-SI"/>
        </w:rPr>
        <w:t xml:space="preserve"> (cleavage of the dioxane cycle), C</w:t>
      </w:r>
      <w:r w:rsidR="00F8653E" w:rsidRPr="000B6FBA">
        <w:rPr>
          <w:rFonts w:asciiTheme="minorHAnsi" w:hAnsiTheme="minorHAnsi"/>
          <w:vertAlign w:val="subscript"/>
          <w:lang w:eastAsia="sl-SI"/>
        </w:rPr>
        <w:t>23</w:t>
      </w:r>
      <w:r w:rsidR="00F8653E" w:rsidRPr="000B6FBA">
        <w:rPr>
          <w:rFonts w:asciiTheme="minorHAnsi" w:hAnsiTheme="minorHAnsi"/>
          <w:lang w:eastAsia="sl-SI"/>
        </w:rPr>
        <w:t>H</w:t>
      </w:r>
      <w:r w:rsidR="00F8653E" w:rsidRPr="000B6FBA">
        <w:rPr>
          <w:rFonts w:asciiTheme="minorHAnsi" w:hAnsiTheme="minorHAnsi"/>
          <w:vertAlign w:val="subscript"/>
          <w:lang w:eastAsia="sl-SI"/>
        </w:rPr>
        <w:t>27</w:t>
      </w:r>
      <w:r w:rsidR="00F8653E" w:rsidRPr="000B6FBA">
        <w:rPr>
          <w:rFonts w:asciiTheme="minorHAnsi" w:hAnsiTheme="minorHAnsi"/>
          <w:lang w:eastAsia="sl-SI"/>
        </w:rPr>
        <w:t>N</w:t>
      </w:r>
      <w:r w:rsidR="00F8653E" w:rsidRPr="000B6FBA">
        <w:rPr>
          <w:rFonts w:asciiTheme="minorHAnsi" w:hAnsiTheme="minorHAnsi"/>
          <w:vertAlign w:val="subscript"/>
          <w:lang w:eastAsia="sl-SI"/>
        </w:rPr>
        <w:t>5</w:t>
      </w:r>
      <w:r w:rsidR="00F8653E" w:rsidRPr="000B6FBA">
        <w:rPr>
          <w:rFonts w:asciiTheme="minorHAnsi" w:hAnsiTheme="minorHAnsi"/>
          <w:lang w:eastAsia="sl-SI"/>
        </w:rPr>
        <w:t>O</w:t>
      </w:r>
      <w:r w:rsidR="00F8653E" w:rsidRPr="000B6FBA">
        <w:rPr>
          <w:rFonts w:asciiTheme="minorHAnsi" w:hAnsiTheme="minorHAnsi"/>
          <w:vertAlign w:val="subscript"/>
          <w:lang w:eastAsia="sl-SI"/>
        </w:rPr>
        <w:t>5</w:t>
      </w:r>
      <w:r w:rsidR="00F8653E" w:rsidRPr="000B6FBA">
        <w:rPr>
          <w:rFonts w:asciiTheme="minorHAnsi" w:hAnsiTheme="minorHAnsi"/>
          <w:lang w:eastAsia="sl-SI"/>
        </w:rPr>
        <w:t xml:space="preserve"> (hydrogenation of the benzene ring), and C</w:t>
      </w:r>
      <w:r w:rsidR="00F8653E" w:rsidRPr="000B6FBA">
        <w:rPr>
          <w:rFonts w:asciiTheme="minorHAnsi" w:hAnsiTheme="minorHAnsi"/>
          <w:vertAlign w:val="subscript"/>
          <w:lang w:eastAsia="sl-SI"/>
        </w:rPr>
        <w:t>23</w:t>
      </w:r>
      <w:r w:rsidR="00F8653E" w:rsidRPr="000B6FBA">
        <w:rPr>
          <w:rFonts w:asciiTheme="minorHAnsi" w:hAnsiTheme="minorHAnsi"/>
          <w:lang w:eastAsia="sl-SI"/>
        </w:rPr>
        <w:t>H</w:t>
      </w:r>
      <w:r w:rsidR="00F8653E" w:rsidRPr="000B6FBA">
        <w:rPr>
          <w:rFonts w:asciiTheme="minorHAnsi" w:hAnsiTheme="minorHAnsi"/>
          <w:vertAlign w:val="subscript"/>
          <w:lang w:eastAsia="sl-SI"/>
        </w:rPr>
        <w:t>25</w:t>
      </w:r>
      <w:r w:rsidR="00F8653E" w:rsidRPr="000B6FBA">
        <w:rPr>
          <w:rFonts w:asciiTheme="minorHAnsi" w:hAnsiTheme="minorHAnsi"/>
          <w:lang w:eastAsia="sl-SI"/>
        </w:rPr>
        <w:t>N</w:t>
      </w:r>
      <w:r w:rsidR="00F8653E" w:rsidRPr="000B6FBA">
        <w:rPr>
          <w:rFonts w:asciiTheme="minorHAnsi" w:hAnsiTheme="minorHAnsi"/>
          <w:vertAlign w:val="subscript"/>
          <w:lang w:eastAsia="sl-SI"/>
        </w:rPr>
        <w:t>5</w:t>
      </w:r>
      <w:r w:rsidR="00F8653E" w:rsidRPr="000B6FBA">
        <w:rPr>
          <w:rFonts w:asciiTheme="minorHAnsi" w:hAnsiTheme="minorHAnsi"/>
          <w:lang w:eastAsia="sl-SI"/>
        </w:rPr>
        <w:t>O</w:t>
      </w:r>
      <w:r w:rsidR="00F8653E" w:rsidRPr="000B6FBA">
        <w:rPr>
          <w:rFonts w:asciiTheme="minorHAnsi" w:hAnsiTheme="minorHAnsi"/>
          <w:vertAlign w:val="subscript"/>
          <w:lang w:eastAsia="sl-SI"/>
        </w:rPr>
        <w:t>7</w:t>
      </w:r>
      <w:r w:rsidR="00F8653E" w:rsidRPr="000B6FBA">
        <w:rPr>
          <w:rFonts w:asciiTheme="minorHAnsi" w:hAnsiTheme="minorHAnsi"/>
          <w:lang w:eastAsia="sl-SI"/>
        </w:rPr>
        <w:t xml:space="preserve"> (hydroxylation) are dominated.</w:t>
      </w:r>
      <w:r w:rsidR="004664A5" w:rsidRPr="000B6FBA">
        <w:rPr>
          <w:rFonts w:asciiTheme="minorHAnsi" w:hAnsiTheme="minorHAnsi"/>
          <w:lang w:eastAsia="sl-SI"/>
        </w:rPr>
        <w:t xml:space="preserve"> </w:t>
      </w:r>
      <w:r w:rsidR="00EB339E" w:rsidRPr="000B6FBA">
        <w:rPr>
          <w:rFonts w:asciiTheme="minorHAnsi" w:hAnsiTheme="minorHAnsi"/>
          <w:lang w:eastAsia="sl-SI"/>
        </w:rPr>
        <w:t>The detailed degradation pathway has been proposed.</w:t>
      </w:r>
    </w:p>
    <w:p w:rsidR="00A91E02" w:rsidRPr="000B6FBA" w:rsidRDefault="00A91E02" w:rsidP="00EB339E">
      <w:pPr>
        <w:jc w:val="both"/>
        <w:rPr>
          <w:rFonts w:asciiTheme="minorHAnsi" w:hAnsiTheme="minorHAnsi"/>
          <w:lang w:eastAsia="sl-SI"/>
        </w:rPr>
      </w:pPr>
    </w:p>
    <w:p w:rsidR="00A91E02" w:rsidRPr="000B6FBA" w:rsidRDefault="00A91E02" w:rsidP="007A3CD9">
      <w:pPr>
        <w:jc w:val="both"/>
        <w:rPr>
          <w:rFonts w:asciiTheme="minorHAnsi" w:hAnsiTheme="minorHAnsi"/>
          <w:lang w:eastAsia="sl-SI"/>
        </w:rPr>
      </w:pPr>
    </w:p>
    <w:p w:rsidR="00A91E02" w:rsidRPr="00EB339E" w:rsidRDefault="00A91E02" w:rsidP="007A3CD9">
      <w:pPr>
        <w:jc w:val="both"/>
        <w:rPr>
          <w:rFonts w:asciiTheme="minorHAnsi" w:hAnsiTheme="minorHAnsi"/>
          <w:lang w:eastAsia="sl-SI"/>
        </w:rPr>
      </w:pPr>
    </w:p>
    <w:sectPr w:rsidR="00A91E02" w:rsidRPr="00EB339E" w:rsidSect="002E37C1">
      <w:footerReference w:type="default" r:id="rId7"/>
      <w:pgSz w:w="11906" w:h="16838"/>
      <w:pgMar w:top="1417" w:right="1417" w:bottom="1417" w:left="1417" w:header="680" w:footer="4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EBD" w:rsidRDefault="001F4EBD" w:rsidP="00BE0433">
      <w:r>
        <w:separator/>
      </w:r>
    </w:p>
  </w:endnote>
  <w:endnote w:type="continuationSeparator" w:id="1">
    <w:p w:rsidR="001F4EBD" w:rsidRDefault="001F4EBD" w:rsidP="00BE043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imSun">
    <w:altName w:val="Arial Unicode MS"/>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837" w:rsidRDefault="00826837" w:rsidP="002E37C1">
    <w:pPr>
      <w:pStyle w:val="Footer"/>
      <w:jc w:val="center"/>
      <w:rPr>
        <w:rFonts w:ascii="Arial Black" w:hAnsi="Arial Black"/>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EBD" w:rsidRDefault="001F4EBD" w:rsidP="00BE0433">
      <w:r>
        <w:separator/>
      </w:r>
    </w:p>
  </w:footnote>
  <w:footnote w:type="continuationSeparator" w:id="1">
    <w:p w:rsidR="001F4EBD" w:rsidRDefault="001F4EBD" w:rsidP="00BE04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E0433"/>
    <w:rsid w:val="000B6FBA"/>
    <w:rsid w:val="001408BA"/>
    <w:rsid w:val="001D3085"/>
    <w:rsid w:val="001F4EBD"/>
    <w:rsid w:val="002E37C1"/>
    <w:rsid w:val="003875E2"/>
    <w:rsid w:val="004664A5"/>
    <w:rsid w:val="0047740B"/>
    <w:rsid w:val="004D1DC5"/>
    <w:rsid w:val="005B7635"/>
    <w:rsid w:val="006043FA"/>
    <w:rsid w:val="00690FD0"/>
    <w:rsid w:val="00692836"/>
    <w:rsid w:val="00775200"/>
    <w:rsid w:val="007A3CD9"/>
    <w:rsid w:val="007D000B"/>
    <w:rsid w:val="00826837"/>
    <w:rsid w:val="00947D95"/>
    <w:rsid w:val="009C2640"/>
    <w:rsid w:val="009C47E0"/>
    <w:rsid w:val="00A811B4"/>
    <w:rsid w:val="00A8578D"/>
    <w:rsid w:val="00A91E02"/>
    <w:rsid w:val="00AE6A3E"/>
    <w:rsid w:val="00BE0433"/>
    <w:rsid w:val="00C50793"/>
    <w:rsid w:val="00C54172"/>
    <w:rsid w:val="00EB339E"/>
    <w:rsid w:val="00EB4409"/>
    <w:rsid w:val="00F8653E"/>
    <w:rsid w:val="00FA1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433"/>
    <w:rPr>
      <w:rFonts w:ascii="Times New Roman" w:eastAsia="SimSu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next w:val="Papertext"/>
    <w:rsid w:val="00BE0433"/>
    <w:pPr>
      <w:jc w:val="center"/>
    </w:pPr>
    <w:rPr>
      <w:lang w:val="hr-HR"/>
    </w:rPr>
  </w:style>
  <w:style w:type="paragraph" w:customStyle="1" w:styleId="Papertext">
    <w:name w:val="Paper text"/>
    <w:basedOn w:val="Normal"/>
    <w:rsid w:val="00BE0433"/>
    <w:pPr>
      <w:jc w:val="both"/>
    </w:pPr>
  </w:style>
  <w:style w:type="character" w:customStyle="1" w:styleId="AuthorsafiiliationChar">
    <w:name w:val="Author's afiiliation Char"/>
    <w:rsid w:val="00BE0433"/>
    <w:rPr>
      <w:i/>
      <w:sz w:val="24"/>
      <w:szCs w:val="24"/>
      <w:lang w:val="hr-HR" w:eastAsia="en-US" w:bidi="ar-SA"/>
    </w:rPr>
  </w:style>
  <w:style w:type="paragraph" w:styleId="Header">
    <w:name w:val="header"/>
    <w:basedOn w:val="Normal"/>
    <w:link w:val="HeaderChar"/>
    <w:uiPriority w:val="99"/>
    <w:rsid w:val="00BE0433"/>
    <w:pPr>
      <w:tabs>
        <w:tab w:val="center" w:pos="4819"/>
        <w:tab w:val="right" w:pos="9638"/>
      </w:tabs>
    </w:pPr>
  </w:style>
  <w:style w:type="character" w:customStyle="1" w:styleId="HeaderChar">
    <w:name w:val="Header Char"/>
    <w:basedOn w:val="DefaultParagraphFont"/>
    <w:link w:val="Header"/>
    <w:uiPriority w:val="99"/>
    <w:rsid w:val="00BE0433"/>
    <w:rPr>
      <w:rFonts w:ascii="Times New Roman" w:eastAsia="SimSun" w:hAnsi="Times New Roman" w:cs="Times New Roman"/>
    </w:rPr>
  </w:style>
  <w:style w:type="paragraph" w:styleId="Footer">
    <w:name w:val="footer"/>
    <w:basedOn w:val="Normal"/>
    <w:link w:val="FooterChar"/>
    <w:uiPriority w:val="99"/>
    <w:rsid w:val="00BE0433"/>
    <w:pPr>
      <w:tabs>
        <w:tab w:val="center" w:pos="4819"/>
        <w:tab w:val="right" w:pos="9638"/>
      </w:tabs>
    </w:pPr>
  </w:style>
  <w:style w:type="character" w:customStyle="1" w:styleId="FooterChar">
    <w:name w:val="Footer Char"/>
    <w:basedOn w:val="DefaultParagraphFont"/>
    <w:link w:val="Footer"/>
    <w:uiPriority w:val="99"/>
    <w:rsid w:val="00BE0433"/>
    <w:rPr>
      <w:rFonts w:ascii="Times New Roman" w:eastAsia="SimSun" w:hAnsi="Times New Roman" w:cs="Times New Roman"/>
    </w:rPr>
  </w:style>
  <w:style w:type="table" w:styleId="TableGrid">
    <w:name w:val="Table Grid"/>
    <w:basedOn w:val="TableNormal"/>
    <w:rsid w:val="00BE0433"/>
    <w:rPr>
      <w:rFonts w:ascii="Times New Roman" w:eastAsia="Times New Roman" w:hAnsi="Times New Roman" w:cs="Times New Roman"/>
      <w:sz w:val="20"/>
      <w:szCs w:val="20"/>
      <w:lang w:val="hr-HR"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04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0433"/>
    <w:rPr>
      <w:rFonts w:ascii="Lucida Grande" w:eastAsia="SimSun" w:hAnsi="Lucida Grande" w:cs="Lucida Grande"/>
      <w:sz w:val="18"/>
      <w:szCs w:val="18"/>
    </w:rPr>
  </w:style>
  <w:style w:type="character" w:styleId="Hyperlink">
    <w:name w:val="Hyperlink"/>
    <w:basedOn w:val="DefaultParagraphFont"/>
    <w:uiPriority w:val="99"/>
    <w:unhideWhenUsed/>
    <w:rsid w:val="00BE043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lonca.trebse@zf.uni-lj.s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476</Words>
  <Characters>2717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UL Zdravstvena fakulteta</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Polonca Trebše</dc:creator>
  <cp:lastModifiedBy>-</cp:lastModifiedBy>
  <cp:revision>4</cp:revision>
  <dcterms:created xsi:type="dcterms:W3CDTF">2019-09-12T12:28:00Z</dcterms:created>
  <dcterms:modified xsi:type="dcterms:W3CDTF">2019-10-31T13:16:00Z</dcterms:modified>
</cp:coreProperties>
</file>