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04783" w14:textId="77777777" w:rsidR="007D1383" w:rsidRPr="00B60B2C" w:rsidRDefault="00122553" w:rsidP="0095405E">
      <w:pPr>
        <w:pStyle w:val="a4"/>
        <w:spacing w:line="276" w:lineRule="auto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Хорунжий Сергей Николаевич родился в 1975 году.</w:t>
      </w:r>
    </w:p>
    <w:p w14:paraId="30544AC7" w14:textId="77777777" w:rsidR="007D1383" w:rsidRPr="00B60B2C" w:rsidRDefault="00122553" w:rsidP="0095405E">
      <w:pPr>
        <w:pStyle w:val="a4"/>
        <w:spacing w:line="276" w:lineRule="auto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В 1998 году окончил юридический факультет Воронежского государственного университета.</w:t>
      </w:r>
    </w:p>
    <w:p w14:paraId="2CC57435" w14:textId="77777777" w:rsidR="007D1383" w:rsidRPr="00B60B2C" w:rsidRDefault="00122553" w:rsidP="0095405E">
      <w:pPr>
        <w:pStyle w:val="a4"/>
        <w:spacing w:line="276" w:lineRule="auto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2002 - 2015 работа в Воронежской областной Думе (от должности консультанта до руководителя управления); с 2010 по 2015 - руководитель аппарата Воронежской областной Думы.</w:t>
      </w:r>
    </w:p>
    <w:p w14:paraId="2E07ECC6" w14:textId="77777777" w:rsidR="007D1383" w:rsidRPr="00B60B2C" w:rsidRDefault="00122553" w:rsidP="0095405E">
      <w:pPr>
        <w:pStyle w:val="a4"/>
        <w:spacing w:line="276" w:lineRule="auto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С июня 2015 года - заместитель председателя Контрольно-счётной палаты Воронежской области.</w:t>
      </w:r>
    </w:p>
    <w:p w14:paraId="01132167" w14:textId="77777777" w:rsidR="007D1383" w:rsidRPr="00B60B2C" w:rsidRDefault="00122553" w:rsidP="0095405E">
      <w:pPr>
        <w:pStyle w:val="a4"/>
        <w:spacing w:line="276" w:lineRule="auto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Кандидат юридических наук, доцент кафедры гражданского права и процесса юридического факультета Воронежского государственного университета; доцент кафедры конституционного и административного права </w:t>
      </w:r>
      <w:proofErr w:type="spellStart"/>
      <w:r w:rsidRPr="00B60B2C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 xml:space="preserve"> (Воронежский филиал).</w:t>
      </w:r>
    </w:p>
    <w:p w14:paraId="55F52C1B" w14:textId="77777777" w:rsidR="007D1383" w:rsidRPr="00B60B2C" w:rsidRDefault="00122553" w:rsidP="0095405E">
      <w:pPr>
        <w:pStyle w:val="a4"/>
        <w:spacing w:line="276" w:lineRule="auto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B60B2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60B2C">
          <w:rPr>
            <w:rStyle w:val="Hyperlink0"/>
            <w:rFonts w:ascii="Times New Roman" w:hAnsi="Times New Roman" w:cs="Times New Roman"/>
            <w:sz w:val="28"/>
            <w:szCs w:val="28"/>
            <w:lang w:val="en-US"/>
          </w:rPr>
          <w:t>snhor@ksp-vrn.ru</w:t>
        </w:r>
      </w:hyperlink>
    </w:p>
    <w:p w14:paraId="39A9F0C9" w14:textId="77777777" w:rsidR="007D1383" w:rsidRPr="00B60B2C" w:rsidRDefault="007D1383" w:rsidP="0095405E">
      <w:pPr>
        <w:pStyle w:val="a4"/>
        <w:spacing w:line="276" w:lineRule="auto"/>
        <w:rPr>
          <w:rFonts w:ascii="Times New Roman" w:eastAsia="Calibri Light" w:hAnsi="Times New Roman" w:cs="Times New Roman"/>
          <w:sz w:val="28"/>
          <w:szCs w:val="28"/>
        </w:rPr>
      </w:pPr>
    </w:p>
    <w:p w14:paraId="47872051" w14:textId="77777777" w:rsidR="007D1383" w:rsidRPr="00B60B2C" w:rsidRDefault="007D1383" w:rsidP="0095405E">
      <w:pPr>
        <w:pStyle w:val="a4"/>
        <w:spacing w:line="276" w:lineRule="auto"/>
        <w:rPr>
          <w:rFonts w:ascii="Times New Roman" w:eastAsia="Calibri Light" w:hAnsi="Times New Roman" w:cs="Times New Roman"/>
          <w:sz w:val="28"/>
          <w:szCs w:val="28"/>
        </w:rPr>
      </w:pPr>
    </w:p>
    <w:p w14:paraId="25EFA057" w14:textId="77777777" w:rsidR="007D1383" w:rsidRPr="00B60B2C" w:rsidRDefault="007D1383" w:rsidP="0095405E">
      <w:pPr>
        <w:pStyle w:val="a4"/>
        <w:spacing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74E6E612" w14:textId="77777777" w:rsidR="007D1383" w:rsidRPr="00B60B2C" w:rsidRDefault="00122553" w:rsidP="0095405E">
      <w:pPr>
        <w:pStyle w:val="a4"/>
        <w:spacing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60B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Хорунжий С.Н.</w:t>
      </w:r>
    </w:p>
    <w:p w14:paraId="591530C8" w14:textId="77777777" w:rsidR="007D1383" w:rsidRPr="00B60B2C" w:rsidRDefault="007D1383" w:rsidP="0095405E">
      <w:pPr>
        <w:pStyle w:val="a4"/>
        <w:spacing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1CFD4665" w14:textId="77777777" w:rsidR="007D1383" w:rsidRPr="00B60B2C" w:rsidRDefault="00122553" w:rsidP="0095405E">
      <w:pPr>
        <w:pStyle w:val="a4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Исключительные полномочия органов </w:t>
      </w:r>
      <w:r w:rsidRPr="00B60B2C">
        <w:rPr>
          <w:rFonts w:ascii="Times New Roman" w:hAnsi="Times New Roman" w:cs="Times New Roman"/>
          <w:sz w:val="28"/>
          <w:szCs w:val="28"/>
        </w:rPr>
        <w:br/>
        <w:t xml:space="preserve">внешнего государственного финансового контроля </w:t>
      </w:r>
      <w:r w:rsidRPr="00B60B2C">
        <w:rPr>
          <w:rFonts w:ascii="Times New Roman" w:hAnsi="Times New Roman" w:cs="Times New Roman"/>
          <w:sz w:val="28"/>
          <w:szCs w:val="28"/>
        </w:rPr>
        <w:br/>
        <w:t>в сфере противодействия коррупции</w:t>
      </w:r>
    </w:p>
    <w:p w14:paraId="3B824D16" w14:textId="77777777" w:rsidR="007D1383" w:rsidRPr="00B60B2C" w:rsidRDefault="007D1383" w:rsidP="0095405E">
      <w:pPr>
        <w:pStyle w:val="a4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D407E8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В статье обосновывается наличие исключительных полномочий органов внешнего государственного финансового контроля в сфере противодействия коррупции. С учетом требований современной правовой среды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>выделены два направления в реализации указанных исключительных полномочий: финансовый аудит исполнения антикоррупционного законодательства, а также финансовый мониторинг коррупционных правонарушений (проступков) в бюджетной сфере.</w:t>
      </w:r>
    </w:p>
    <w:p w14:paraId="31400AA0" w14:textId="77777777" w:rsidR="007D1383" w:rsidRPr="00B60B2C" w:rsidRDefault="00122553" w:rsidP="0095405E">
      <w:pPr>
        <w:pStyle w:val="a4"/>
        <w:spacing w:line="276" w:lineRule="auto"/>
        <w:ind w:firstLine="567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Ключевые слова: контроль, надзор, аудит, коррупция, правовая среда, конфликт интересов, заинтересованность, зависимость, </w:t>
      </w:r>
      <w:proofErr w:type="spellStart"/>
      <w:r w:rsidRPr="00B60B2C">
        <w:rPr>
          <w:rFonts w:ascii="Times New Roman" w:hAnsi="Times New Roman" w:cs="Times New Roman"/>
          <w:sz w:val="28"/>
          <w:szCs w:val="28"/>
        </w:rPr>
        <w:t>аффилированность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>.</w:t>
      </w:r>
    </w:p>
    <w:p w14:paraId="00E47093" w14:textId="77777777" w:rsidR="007D1383" w:rsidRPr="00B60B2C" w:rsidRDefault="007D1383" w:rsidP="0095405E">
      <w:pPr>
        <w:pStyle w:val="a4"/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BF5FB6" w14:textId="77777777" w:rsidR="007D1383" w:rsidRDefault="00122553" w:rsidP="0095405E">
      <w:pPr>
        <w:pStyle w:val="a4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60B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Khorunzhiy</w:t>
      </w:r>
      <w:proofErr w:type="spellEnd"/>
      <w:r w:rsidRPr="00B60B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S</w:t>
      </w:r>
      <w:r w:rsidRPr="00B60B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60B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B60B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6C7BEAF" w14:textId="77777777" w:rsidR="0095405E" w:rsidRPr="00B60B2C" w:rsidRDefault="0095405E" w:rsidP="0095405E">
      <w:pPr>
        <w:pStyle w:val="a4"/>
        <w:spacing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37EAFE4A" w14:textId="77777777" w:rsidR="007D1383" w:rsidRDefault="00122553" w:rsidP="0095405E">
      <w:pPr>
        <w:pStyle w:val="a4"/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The special powers of Supreme Audit Institutions </w:t>
      </w:r>
      <w:r w:rsidRPr="00B60B2C">
        <w:rPr>
          <w:rFonts w:ascii="Times New Roman" w:hAnsi="Times New Roman" w:cs="Times New Roman"/>
          <w:sz w:val="28"/>
          <w:szCs w:val="28"/>
        </w:rPr>
        <w:br/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>in the area of anti-corruption</w:t>
      </w:r>
    </w:p>
    <w:p w14:paraId="4D2A37FF" w14:textId="77777777" w:rsidR="0095405E" w:rsidRPr="0095405E" w:rsidRDefault="0095405E" w:rsidP="0095405E">
      <w:pPr>
        <w:pStyle w:val="a4"/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B306AE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  <w:lang w:val="en-US"/>
        </w:rPr>
        <w:lastRenderedPageBreak/>
        <w:t>The article substantiates the existence special powers of Supreme Audit Institutions in the area of anti-corruption</w:t>
      </w:r>
      <w:r w:rsidRPr="00B60B2C">
        <w:rPr>
          <w:rFonts w:ascii="Times New Roman" w:hAnsi="Times New Roman" w:cs="Times New Roman"/>
          <w:sz w:val="28"/>
          <w:szCs w:val="28"/>
        </w:rPr>
        <w:t>.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Subject to the requirements of a modern legal environment highlighted two areas in the implementation of these exclusive powers: the financial audit of execution of anti-corruption legislation, as well as financial monitoring of corruption offenses (minor offense) in the public sector.</w:t>
      </w:r>
    </w:p>
    <w:p w14:paraId="5A142145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  <w:lang w:val="en-US"/>
        </w:rPr>
        <w:t>Keywords: control, supervision, auditing, corruption, legal of the sphere, conflict of interest, interest, relationship, affiliation</w:t>
      </w:r>
      <w:r w:rsidRPr="00B60B2C">
        <w:rPr>
          <w:rFonts w:ascii="Times New Roman" w:hAnsi="Times New Roman" w:cs="Times New Roman"/>
          <w:sz w:val="28"/>
          <w:szCs w:val="28"/>
        </w:rPr>
        <w:t xml:space="preserve">, 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>Supreme Audit Institutions</w:t>
      </w:r>
    </w:p>
    <w:p w14:paraId="514D28A9" w14:textId="77777777" w:rsidR="007D1383" w:rsidRPr="00B60B2C" w:rsidRDefault="007D1383" w:rsidP="0095405E">
      <w:pPr>
        <w:pStyle w:val="a4"/>
        <w:spacing w:line="276" w:lineRule="auto"/>
        <w:ind w:firstLine="567"/>
        <w:rPr>
          <w:rFonts w:ascii="Times New Roman" w:eastAsia="Calibri Light" w:hAnsi="Times New Roman" w:cs="Times New Roman"/>
          <w:sz w:val="28"/>
          <w:szCs w:val="28"/>
        </w:rPr>
      </w:pPr>
    </w:p>
    <w:p w14:paraId="181DB802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Современное законодательство Российской Федерации в сфере противодействия коррупции охватывает достаточно широкий спектр общественных отношений: от профилактических мер по формированию в обществе нетерпимости к коррупционному поведению до сравнительно четкой регламентации субъектов публичной деятельности. Вместе с этим специфика финансово-бюджетной сферы не получила должного отражения в нормах действующего антикоррупционного законодательства. Представляется, что именно деятельность органов внешнего государственного финансового контроля (далее - «ВГФК»), как основных (и порой единственных) профессиональных участников аудита государственных финансов, должна находиться в основе формирования современных механизмов противодействия коррупции в финансово-бюджетной сфере.</w:t>
      </w:r>
    </w:p>
    <w:p w14:paraId="4728EBAF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Федеральный закон от 25 декабря 2008 года № 273-ФЗ «О противодействии коррупции» (далее - Закон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>№ 273), являясь основополагающим нормативным правовым актом в данной сфере, устанавливающим основные направления деятельности государственных органов по повышению эффективности противодействия коррупции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 xml:space="preserve">не уделил должного внимания широкому спектру финансово-бюджетных отношений. Указанный закон не содержит ни одного указания на необходимость антикоррупционного контроля в части публичных (государственных и муниципальных) финансов. </w:t>
      </w:r>
    </w:p>
    <w:p w14:paraId="07E672F1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Одновременно с этим, часть 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proofErr w:type="spellStart"/>
      <w:r w:rsidRPr="00B60B2C">
        <w:rPr>
          <w:rFonts w:ascii="Times New Roman" w:hAnsi="Times New Roman" w:cs="Times New Roman"/>
          <w:sz w:val="28"/>
          <w:szCs w:val="28"/>
          <w:lang w:val="en-US"/>
        </w:rPr>
        <w:t>статьи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 xml:space="preserve"> 5 Закона № 273 прямо указывает, что Счётная палата Российской Федерации в пределах своих полномочий обеспечивает противодействие коррупции в соответствии с федеральным законом о Счетной палате. Последний в качестве одной из задач Счетной палаты РФ устанавливает «обеспечение в пределах своей компетенции мер по противодействию коррупции»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2"/>
      </w:r>
      <w:r w:rsidRPr="00B60B2C">
        <w:rPr>
          <w:rFonts w:ascii="Times New Roman" w:hAnsi="Times New Roman" w:cs="Times New Roman"/>
          <w:sz w:val="28"/>
          <w:szCs w:val="28"/>
        </w:rPr>
        <w:t>. Схожие полномочия закреплены за контрольно-счетными органами субъектов Российской Федерации: «участие в пределах полномочий в мероприятиях, направленных на противодействие коррупции»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3"/>
      </w:r>
      <w:r w:rsidRPr="00B60B2C">
        <w:rPr>
          <w:rFonts w:ascii="Times New Roman" w:hAnsi="Times New Roman" w:cs="Times New Roman"/>
          <w:sz w:val="28"/>
          <w:szCs w:val="28"/>
        </w:rPr>
        <w:t xml:space="preserve">. Аналогичные нормы </w:t>
      </w:r>
      <w:r w:rsidRPr="00B60B2C">
        <w:rPr>
          <w:rFonts w:ascii="Times New Roman" w:hAnsi="Times New Roman" w:cs="Times New Roman"/>
          <w:sz w:val="28"/>
          <w:szCs w:val="28"/>
        </w:rPr>
        <w:lastRenderedPageBreak/>
        <w:t>можно встретить в регламентации деятельности контрольно-счетных органов субъектов Российской Федерации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4"/>
      </w:r>
      <w:r w:rsidRPr="00B60B2C">
        <w:rPr>
          <w:rFonts w:ascii="Times New Roman" w:hAnsi="Times New Roman" w:cs="Times New Roman"/>
          <w:sz w:val="28"/>
          <w:szCs w:val="28"/>
        </w:rPr>
        <w:t>.</w:t>
      </w:r>
    </w:p>
    <w:p w14:paraId="2ED43D47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Подобные эпизодичные ссылки на нормы отраслевого и регионального законодательства лишь подчеркивают отсутствие системного подхода в сфере государственного антикоррупционного финансово-бюджетного контроля.</w:t>
      </w:r>
    </w:p>
    <w:p w14:paraId="1F3F8956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В то же время, как справедливо отметила председатель Счётной палаты Российской Федерации Т.А. Голикова, роль высших органов внешнего государственного финансового контроля в вопросах противодействия коррупции – одна из ключевых. В качестве иллюстрации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>наиболее емких для коррупционных проявлений, попавших в сферу контрольных мероприятий высшего органа внешнего государственного финансового контроля, были выделены:</w:t>
      </w:r>
    </w:p>
    <w:p w14:paraId="63847917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1) сферы строительства, закупок, взносов в государственные корпорации и различные фонды;</w:t>
      </w:r>
    </w:p>
    <w:p w14:paraId="6C2640D1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2) авансирование расходов без достаточных оснований, а также расходование избыточно полученных бюджетных ресурсов и не возвращённых в бюджет остатков;</w:t>
      </w:r>
    </w:p>
    <w:p w14:paraId="12918D7C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3) использование федерального имущества для осуществления иной приносящей доход деятельности, в том числе, для оказания платных услуг;</w:t>
      </w:r>
    </w:p>
    <w:p w14:paraId="74ED95C0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4) факты </w:t>
      </w:r>
      <w:proofErr w:type="spellStart"/>
      <w:r w:rsidRPr="00B60B2C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 xml:space="preserve"> и условия возникновения конфликта интересов в руководстве госучреждений при заключении ими сделок с использованием бюджетных средств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5"/>
      </w:r>
      <w:r w:rsidRPr="00B60B2C">
        <w:rPr>
          <w:rFonts w:ascii="Times New Roman" w:hAnsi="Times New Roman" w:cs="Times New Roman"/>
          <w:sz w:val="28"/>
          <w:szCs w:val="28"/>
        </w:rPr>
        <w:t>.</w:t>
      </w:r>
    </w:p>
    <w:p w14:paraId="5996E06F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Очевидно, что перечень подобных нарушений может быть продолжен. Вместе с этим считаем важным указать на следующее. Каждое из приведенных выше деяний совершается в рамках классического гражданского оборота: совершается сделка, заключается договор, устанавливается порядок авансирования, оказание услуг и проч. </w:t>
      </w:r>
    </w:p>
    <w:p w14:paraId="0C2CDB91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Для утверждения о коррупционности таких действий и принимаемых актах необходимо установить наличие совершенно определенных юридических фактов или юридических составов, а именно: особой взаимосвязи между совершаемым публичным лицом деянием, присутствующим у него при этом личного (прямого или косвенного) интереса и фактом причинения вреда общественным (государственным, социальным) интересам. В отсутствии указанных обстоятельств </w:t>
      </w:r>
      <w:r w:rsidRPr="00B60B2C">
        <w:rPr>
          <w:rFonts w:ascii="Times New Roman" w:hAnsi="Times New Roman" w:cs="Times New Roman"/>
          <w:sz w:val="28"/>
          <w:szCs w:val="28"/>
        </w:rPr>
        <w:lastRenderedPageBreak/>
        <w:t>коррупционная составляющая будет сведена до традиционных составов уголовно-наказуемых деяний. Именно по этой причине, а также ввиду «популярности» антикоррупционной проблематики, к коррупционным стали относить самые разнообразные действия, закрепляя их в отраслевом законодательстве в качестве соответствующих составов административных правонарушений и уголовных преступлений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6"/>
      </w:r>
      <w:r w:rsidRPr="00B60B2C">
        <w:rPr>
          <w:rFonts w:ascii="Times New Roman" w:hAnsi="Times New Roman" w:cs="Times New Roman"/>
          <w:sz w:val="28"/>
          <w:szCs w:val="28"/>
        </w:rPr>
        <w:t>.</w:t>
      </w:r>
    </w:p>
    <w:p w14:paraId="2FF009F7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Думается, что такое «автоматическое» причисление указанных деяний к коррупционным имеет мало практической пользы, особенно для целей деятельности органов ВГФК. Полагаем, что противодействие коррупции органами финансово-бюджетного контроля включает в себя не только содействий в выявлении признаков и составов уголовно-наказуемых деяний, но включает в себя полномочия, являющиеся исключительными по отношению ко всем иным органам, в том числе правоохранительным.</w:t>
      </w:r>
    </w:p>
    <w:p w14:paraId="26BB1CBA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В целях обоснования данного тезиса, обратим внимание на изменения социально-нормативного и государственно-правового содержания коррупции в современной правовой среде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7"/>
      </w:r>
      <w:r w:rsidRPr="00B60B2C">
        <w:rPr>
          <w:rFonts w:ascii="Times New Roman" w:hAnsi="Times New Roman" w:cs="Times New Roman"/>
          <w:sz w:val="28"/>
          <w:szCs w:val="28"/>
        </w:rPr>
        <w:t>. В частности, обновленная Стратегия национальной безопасности причисляет коррупцию к основным угрозам государственной и общественной безопасности, наряду с терроризмом и экстремизмом (п. 43)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8"/>
      </w:r>
      <w:r w:rsidRPr="00B60B2C">
        <w:rPr>
          <w:rFonts w:ascii="Times New Roman" w:hAnsi="Times New Roman" w:cs="Times New Roman"/>
          <w:sz w:val="28"/>
          <w:szCs w:val="28"/>
        </w:rPr>
        <w:t xml:space="preserve">. Одновременно «главными стратегическими угрозами национальной безопасности в области экономики» названы «сохранение значительной доли теневой экономики, условий для коррупции и криминализации хозяйственно-финансовых отношений» (п. 58). При этом, необходимость противодействия коррупции рассматривается Президентом России в качестве элемента социально-экономической политики </w:t>
      </w:r>
      <w:r w:rsidRPr="00B60B2C">
        <w:rPr>
          <w:rFonts w:ascii="Times New Roman" w:hAnsi="Times New Roman" w:cs="Times New Roman"/>
          <w:i/>
          <w:iCs/>
          <w:sz w:val="28"/>
          <w:szCs w:val="28"/>
        </w:rPr>
        <w:t>наряду</w:t>
      </w:r>
      <w:r w:rsidRPr="00B60B2C">
        <w:rPr>
          <w:rFonts w:ascii="Times New Roman" w:hAnsi="Times New Roman" w:cs="Times New Roman"/>
          <w:sz w:val="28"/>
          <w:szCs w:val="28"/>
        </w:rPr>
        <w:t xml:space="preserve"> со снижением издержек и неэффективных бюджетных расходов, борьбой с нецелевым использованием и хищением государственных средств, повышением эффективности управления принадлежащим государству активам (п. 62). Таким образом, коррупция выделяется в качестве самостоятельной угрозы экономической безопасности, выходящей за рамки традиционных составов административных правонарушений и уголовно-наказуемых деяний, что ставит особые задачи перед ОВГФК.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349D6CC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В этом смысле представляется верной позиция Т.А. Голиковой, высказанная в рамках заседания уже указанного Совета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- «о рисках, условиях и предпосылках коррупционных проявлений». С учетом этого, </w:t>
      </w:r>
      <w:r w:rsidRPr="00B60B2C">
        <w:rPr>
          <w:rFonts w:ascii="Times New Roman" w:hAnsi="Times New Roman" w:cs="Times New Roman"/>
          <w:sz w:val="28"/>
          <w:szCs w:val="28"/>
        </w:rPr>
        <w:lastRenderedPageBreak/>
        <w:t>а также исходя из положений ст. 7 Закона № 273 представляется возможным выделить следующие основные направления деятельности ОГФК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>по повышению эффективности противодействия коррупции:</w:t>
      </w:r>
    </w:p>
    <w:p w14:paraId="72C23808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1) обеспечение добросовестности, открытости, содействие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14:paraId="1FEC88B7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2)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14:paraId="5045870E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3) оптимизацию и конкретизацию полномочий (в том числе финансовых) государственных органов и их работников, которые должны быть отражены в административных и должностных регламентах.</w:t>
      </w:r>
    </w:p>
    <w:p w14:paraId="165B153B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Однако, не смотря на то, что приведенные выше сферы являются специфическими, деятельность органов ВГФК не может считаться исключительной. Действительно, многие органы государственной власти наделены соответствующими  (схожими, подобными) контрольными и надзорными полномочиями.</w:t>
      </w:r>
    </w:p>
    <w:p w14:paraId="3F4A368D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На основании анализа указанного федерального закона в системном рассмотрении с другими актами, регламентирующими противодействие коррупции, а также с учетом устранения дублирования функций и полномочий в качестве одной из задач проводимой административной реформы, позволим утверждать, что исключительные антикоррупционные полномочия органов ВГФК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>в финансово-бюджетной сфере выходят за пределы деятельности традиционных контрольно-надзорных (в том числе правоохранительных) органов. Юридическая квалификация  обнаруженных органами ВГФК фактов коррупции может также находиться за классическими рамками отраслей уголовного и административного права, затрагивая также нормы гражданского, финансового, бюджетного, налогового, служебного и другого права.</w:t>
      </w:r>
    </w:p>
    <w:p w14:paraId="1D1B88F4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Речь идет о сравнительно новом для правовой среды России факте придания этическим, моральным и нравственным требованиям юрисдикции нормативных предписаний - законодательном закреплении института конфликта интересов. Действующее антикоррупционное законодательство уделяет значительное внимание его юридическому определению и регламентации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9"/>
      </w:r>
      <w:r w:rsidRPr="00B60B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61C84A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lastRenderedPageBreak/>
        <w:t>Вместе с этим, констатация факта наличия конфликта интересов органом внешнего государственного финансового контроля в ходе проведения соответствующих контрольных и экспертно-аналитических мероприятий является лишь первоочередным элементом в реализации своих исключительных полномочий. Акцессорным (от лат</w:t>
      </w:r>
      <w:r w:rsidRPr="00B60B2C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proofErr w:type="spellStart"/>
      <w:r w:rsidRPr="00B60B2C">
        <w:rPr>
          <w:rFonts w:ascii="Times New Roman" w:hAnsi="Times New Roman" w:cs="Times New Roman"/>
          <w:sz w:val="28"/>
          <w:szCs w:val="28"/>
          <w:lang w:val="it-IT"/>
        </w:rPr>
        <w:t>accessorius</w:t>
      </w:r>
      <w:proofErr w:type="spellEnd"/>
      <w:r w:rsidRPr="00B60B2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 xml:space="preserve">- дополнительный, добавочный) фактом, также подлежащими исключению в целях противодействия коррупции, является не менее сложный с точки зрения экономико-юридического содержания и финансово-бюджетного интереса - институт </w:t>
      </w:r>
      <w:proofErr w:type="spellStart"/>
      <w:r w:rsidRPr="00B60B2C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 xml:space="preserve"> (отношения связанности).</w:t>
      </w:r>
    </w:p>
    <w:p w14:paraId="764D9BF1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С учетом того, что </w:t>
      </w:r>
      <w:proofErr w:type="spellStart"/>
      <w:r w:rsidRPr="00B60B2C">
        <w:rPr>
          <w:rFonts w:ascii="Times New Roman" w:hAnsi="Times New Roman" w:cs="Times New Roman"/>
          <w:sz w:val="28"/>
          <w:szCs w:val="28"/>
        </w:rPr>
        <w:t>сопринадлежность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 xml:space="preserve"> институтов конфликта интересов и </w:t>
      </w:r>
      <w:proofErr w:type="spellStart"/>
      <w:r w:rsidRPr="00B60B2C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 xml:space="preserve"> требует самостоятельного и подробного рассмотрения, выходящего за рамки настоящего исследования, признаем в целом положительными попытки предпринимаемые законодателем регламентации статуса и действий подобных лиц. Однако этого, представляется, недостаточно. Так, В. В. Путин, выступая на заседании Совета по противодействию коррупции прямо указал на необходимость совершенствования работы структур, которые контролируют расходование бюджетных средств: «важно уже на ранних этапах выявлять личную заинтересованность тех, кто недобросовестно распоряжается бюджетными средствами, вскрывать факты использования подставных или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>аффилированных организаций, исключить конфликт интересов»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10"/>
      </w:r>
      <w:r w:rsidRPr="00B60B2C">
        <w:rPr>
          <w:rFonts w:ascii="Times New Roman" w:hAnsi="Times New Roman" w:cs="Times New Roman"/>
          <w:sz w:val="28"/>
          <w:szCs w:val="28"/>
        </w:rPr>
        <w:t>.</w:t>
      </w:r>
    </w:p>
    <w:p w14:paraId="1A645D52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</w:t>
      </w:r>
      <w:proofErr w:type="spellStart"/>
      <w:r w:rsidRPr="00B60B2C">
        <w:rPr>
          <w:rFonts w:ascii="Times New Roman" w:hAnsi="Times New Roman" w:cs="Times New Roman"/>
          <w:sz w:val="28"/>
          <w:szCs w:val="28"/>
        </w:rPr>
        <w:t>аффилированность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 xml:space="preserve"> не является синонимом незаконности и наказуемости: в рамках гражданского оборота, взаимовлияние - это вполне допустимый способ ведения и осуществления предпринимательской деятельности («отношения связанности» - ст. 53.2 ГК РФ)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11"/>
      </w:r>
      <w:r w:rsidRPr="00B60B2C">
        <w:rPr>
          <w:rFonts w:ascii="Times New Roman" w:hAnsi="Times New Roman" w:cs="Times New Roman"/>
          <w:sz w:val="28"/>
          <w:szCs w:val="28"/>
        </w:rPr>
        <w:t>. Законом порицается злоупотребление таковым статусом, а также предоставленными с ним правами.</w:t>
      </w:r>
    </w:p>
    <w:p w14:paraId="175CD481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Следовательно, признаки коррупционности рассматриваемые деяния приобретают только при наличии сложного юридического состава: проявленной недобросовестности (или небрежности) в осуществлении полномочий по распоряжению бюджетными средствами (либо реализации иных полномочий в принятии решений в отношении публичного имущества или финансов) при одновременном присутствии личной (прямой или косвенной) заинтересованности, выходящей за рамки государственного или общественного интереса.</w:t>
      </w:r>
    </w:p>
    <w:p w14:paraId="5F5117CD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lastRenderedPageBreak/>
        <w:t>Нарушения, возникающие в результате указанных деяний, являются предметом исключительных полномочий органов внешнего государственного финансового контроля, вытекающих из особого статуса таких органов. Именно органы ВГФК наделены специальными возможностями в сфере установления недобросовестности (злонамеренности) финансово-бюджетных трат лицами, действующими в личных интересах и/или являющимися аффилированными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12"/>
      </w:r>
      <w:r w:rsidRPr="00B60B2C">
        <w:rPr>
          <w:rFonts w:ascii="Times New Roman" w:hAnsi="Times New Roman" w:cs="Times New Roman"/>
          <w:sz w:val="28"/>
          <w:szCs w:val="28"/>
        </w:rPr>
        <w:t>.</w:t>
      </w:r>
    </w:p>
    <w:p w14:paraId="450B037E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Исходя из этого, а также с учетом предложений, высказанных в специальной литературе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13"/>
      </w:r>
      <w:r w:rsidRPr="00B60B2C">
        <w:rPr>
          <w:rFonts w:ascii="Times New Roman" w:hAnsi="Times New Roman" w:cs="Times New Roman"/>
          <w:sz w:val="28"/>
          <w:szCs w:val="28"/>
        </w:rPr>
        <w:t>, считаем возможным выделить,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>как минимум, два направления в реализации исключительных полномочий органов внешнего государственного финансового контроля в сфере антикоррупционной деятельности: (1) финансовый аудит исполнения антикоррупционного законодательства, а также (2) финансовый мониторинг коррупционных правонарушений (проступков) в бюджетной сфере.</w:t>
      </w:r>
    </w:p>
    <w:p w14:paraId="5291C174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С учетом сравнительной новизны данной сферы, предложенные направления в реализации исключительных полномочий органов внешнего государственного финансового контроля нуждаются в подробной регламентации. Без этого, а также без совершенствования законодательства в целом, теперь уже со стороны органов власти «под видом борьбы с нарушением закона происходит злоупотребление правом»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14"/>
      </w:r>
      <w:r w:rsidRPr="00B60B2C">
        <w:rPr>
          <w:rFonts w:ascii="Times New Roman" w:hAnsi="Times New Roman" w:cs="Times New Roman"/>
          <w:sz w:val="28"/>
          <w:szCs w:val="28"/>
        </w:rPr>
        <w:t>.</w:t>
      </w:r>
    </w:p>
    <w:p w14:paraId="3CB76053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Вместе с этим, в настоящее время можно встретить лишь эпизодические упоминания в части реализации антикоррупционных полномочий органами ВГФК. Так, например, в соответствии с п. 4.12 СГА 102 «в ходе подготовительного этапа экспертно-аналитического мероприятия в программу его проведения, с учетом проведенного анализа тематики, целей и вопросов, в которых возможна высокая вероятность возникновения рисков коррупционных проявлений, могут быть включены вопросы по анализу мер, принимаемых по противодействию коррупции»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15"/>
      </w:r>
      <w:r w:rsidRPr="00B60B2C">
        <w:rPr>
          <w:rFonts w:ascii="Times New Roman" w:hAnsi="Times New Roman" w:cs="Times New Roman"/>
          <w:sz w:val="28"/>
          <w:szCs w:val="28"/>
        </w:rPr>
        <w:t xml:space="preserve">. В другом Стандарте (СГА 101) указывается, что в ходе предварительного изучения предмета и объектов контрольного мероприятия производится </w:t>
      </w:r>
      <w:r w:rsidRPr="00B60B2C">
        <w:rPr>
          <w:rFonts w:ascii="Times New Roman" w:hAnsi="Times New Roman" w:cs="Times New Roman"/>
          <w:sz w:val="28"/>
          <w:szCs w:val="28"/>
        </w:rPr>
        <w:lastRenderedPageBreak/>
        <w:t>оценка рисков, которая заключается в определении «существуют ли какие-либо факторы (действия или события), оказывающие негативное влияние на формирование и использование государственных средств в проверяемой сфере или на финансово-хозяйственную деятельность объекта контрольного мероприятия, следствием чего могут быть нарушения и недостатки, в том числе риски возникновения коррупционных проявлений в ходе использования государственных средств»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16"/>
      </w:r>
      <w:r w:rsidRPr="00B60B2C">
        <w:rPr>
          <w:rFonts w:ascii="Times New Roman" w:hAnsi="Times New Roman" w:cs="Times New Roman"/>
          <w:sz w:val="28"/>
          <w:szCs w:val="28"/>
        </w:rPr>
        <w:t xml:space="preserve"> (п. 4.1.1).</w:t>
      </w:r>
    </w:p>
    <w:p w14:paraId="61F71A2E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Отметим, что в международных стандартах вопросы противодействия коррупции также </w:t>
      </w:r>
      <w:proofErr w:type="spellStart"/>
      <w:r w:rsidRPr="00B60B2C">
        <w:rPr>
          <w:rFonts w:ascii="Times New Roman" w:hAnsi="Times New Roman" w:cs="Times New Roman"/>
          <w:sz w:val="28"/>
          <w:szCs w:val="28"/>
        </w:rPr>
        <w:t>представленыдостаточно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 xml:space="preserve"> скромно. Например, в</w:t>
      </w:r>
      <w:r w:rsidRPr="00B60B2C">
        <w:rPr>
          <w:rFonts w:ascii="Times New Roman" w:hAnsi="Times New Roman" w:cs="Times New Roman"/>
          <w:color w:val="D17E14"/>
          <w:sz w:val="28"/>
          <w:szCs w:val="28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>Международном стандарте высших органов аудита (ISSAI 12)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>борьба с коррупцией зафиксирована лишь в качестве одного из принципов деятельности высших органов аудита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17"/>
      </w:r>
      <w:r w:rsidRPr="00B60B2C">
        <w:rPr>
          <w:rFonts w:ascii="Times New Roman" w:hAnsi="Times New Roman" w:cs="Times New Roman"/>
          <w:sz w:val="28"/>
          <w:szCs w:val="28"/>
        </w:rPr>
        <w:t xml:space="preserve">. В другом стандарте 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60B2C">
        <w:rPr>
          <w:rFonts w:ascii="Times New Roman" w:hAnsi="Times New Roman" w:cs="Times New Roman"/>
          <w:sz w:val="28"/>
          <w:szCs w:val="28"/>
        </w:rPr>
        <w:t>ISSAI 20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60B2C">
        <w:rPr>
          <w:rFonts w:ascii="Times New Roman" w:hAnsi="Times New Roman" w:cs="Times New Roman"/>
          <w:sz w:val="28"/>
          <w:szCs w:val="28"/>
        </w:rPr>
        <w:t>: «Принципы прозрачности и подотчетности»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B60B2C">
        <w:rPr>
          <w:rFonts w:ascii="Times New Roman" w:hAnsi="Times New Roman" w:cs="Times New Roman"/>
          <w:sz w:val="28"/>
          <w:szCs w:val="28"/>
        </w:rPr>
        <w:t xml:space="preserve">говорится об исключении «конфликтов  интересов и коррупции» применительно лишь внутренним профессиональным стандартам добросовестности и законность </w:t>
      </w:r>
      <w:proofErr w:type="spellStart"/>
      <w:r w:rsidRPr="00B60B2C">
        <w:rPr>
          <w:rFonts w:ascii="Times New Roman" w:hAnsi="Times New Roman" w:cs="Times New Roman"/>
          <w:sz w:val="28"/>
          <w:szCs w:val="28"/>
        </w:rPr>
        <w:t>собственнои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>̆ деятельности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18"/>
      </w:r>
      <w:r w:rsidRPr="00B60B2C">
        <w:rPr>
          <w:rFonts w:ascii="Times New Roman" w:hAnsi="Times New Roman" w:cs="Times New Roman"/>
          <w:sz w:val="28"/>
          <w:szCs w:val="28"/>
        </w:rPr>
        <w:t>. Аналогичным образом раскрыт подход к коррупции в Стандарте ISSAI 21 («Принципы прозрачности и подотчетности. Принципы и лучшие практики»), а также в ISSAI 30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B60B2C">
        <w:rPr>
          <w:rFonts w:ascii="Times New Roman" w:hAnsi="Times New Roman" w:cs="Times New Roman"/>
          <w:sz w:val="28"/>
          <w:szCs w:val="28"/>
        </w:rPr>
        <w:t>Этическии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>̆ кодекс ИНТОСАИ»)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19"/>
      </w:r>
      <w:r w:rsidRPr="00B60B2C">
        <w:rPr>
          <w:rFonts w:ascii="Times New Roman" w:hAnsi="Times New Roman" w:cs="Times New Roman"/>
          <w:sz w:val="28"/>
          <w:szCs w:val="28"/>
        </w:rPr>
        <w:t>.</w:t>
      </w:r>
    </w:p>
    <w:p w14:paraId="5FB4423B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На первых этапах организации работы в рамках </w:t>
      </w:r>
      <w:proofErr w:type="spellStart"/>
      <w:r w:rsidRPr="00B60B2C">
        <w:rPr>
          <w:rFonts w:ascii="Times New Roman" w:hAnsi="Times New Roman" w:cs="Times New Roman"/>
          <w:sz w:val="28"/>
          <w:szCs w:val="28"/>
        </w:rPr>
        <w:t>указаных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 xml:space="preserve"> направлений могут сыграть также уточнённые классификаторы нарушений и недостатков, активно используемых в регионах, а также автоматизированные системы учета результатов контрольных мероприятий</w:t>
      </w:r>
      <w:r w:rsidRPr="00B60B2C">
        <w:rPr>
          <w:rFonts w:ascii="Times New Roman" w:eastAsia="Calibri Light" w:hAnsi="Times New Roman" w:cs="Times New Roman"/>
          <w:sz w:val="28"/>
          <w:szCs w:val="28"/>
          <w:vertAlign w:val="superscript"/>
        </w:rPr>
        <w:footnoteReference w:id="20"/>
      </w:r>
      <w:r w:rsidRPr="00B60B2C">
        <w:rPr>
          <w:rFonts w:ascii="Times New Roman" w:hAnsi="Times New Roman" w:cs="Times New Roman"/>
          <w:sz w:val="28"/>
          <w:szCs w:val="28"/>
        </w:rPr>
        <w:t>.</w:t>
      </w:r>
    </w:p>
    <w:p w14:paraId="215DC460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С учетом вышеизложенного, а также ввиду актуальности рассмотренных вопросов представляется весьма важным осуществить подробную регламентацию действий контрольно-счетных органов при реализации ими исключительных полномочий в сфере противодействия коррупции. В этом смысле необходимо уделить больше внимания научному и методическому сопровождению указанной деятельности, в том числе рассмотреть возможность подготовки соответствующих регламентов финансового аудита исполнения антикоррупционного </w:t>
      </w:r>
      <w:r w:rsidRPr="00B60B2C">
        <w:rPr>
          <w:rFonts w:ascii="Times New Roman" w:hAnsi="Times New Roman" w:cs="Times New Roman"/>
          <w:sz w:val="28"/>
          <w:szCs w:val="28"/>
        </w:rPr>
        <w:lastRenderedPageBreak/>
        <w:t>законодательства, а также финансового мониторинга коррупционных правонарушений (проступков) в финансово-бюджетной сфере с подробным изложением категориального аппарата, а также корректировкой алгоритма проведения контрольных и экспертно-аналитических мероприятий.</w:t>
      </w:r>
    </w:p>
    <w:p w14:paraId="254362C8" w14:textId="77777777" w:rsidR="007D1383" w:rsidRPr="00B60B2C" w:rsidRDefault="007D1383" w:rsidP="0095405E">
      <w:pPr>
        <w:pStyle w:val="a4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314635" w14:textId="77777777" w:rsidR="007D1383" w:rsidRPr="00B60B2C" w:rsidRDefault="00122553" w:rsidP="0095405E">
      <w:pPr>
        <w:pStyle w:val="a4"/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0B2C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14:paraId="6E5F37E4" w14:textId="77777777" w:rsidR="007D1383" w:rsidRPr="00B60B2C" w:rsidRDefault="007D138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</w:p>
    <w:p w14:paraId="55F02175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Федеральный закон от 05.04.2013 № 41-ФЗ (ред. от 27.10.2015) «О Счетной палате Российской Федерации».</w:t>
      </w:r>
    </w:p>
    <w:p w14:paraId="78407A9D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Федеральный закон от 07.02.2011 № 6-ФЗ (ред. от 04.03.2014)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5CACD591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Федеральный закон от 25.12.2008 № 273-ФЗ (ред. от 15.02.2016) «О противодействии коррупции».</w:t>
      </w:r>
    </w:p>
    <w:p w14:paraId="6D89F151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Указ Президента РФ от 31.12.2015 № 683 «О Стратегии национальной безопасности Российской Федерации».</w:t>
      </w:r>
    </w:p>
    <w:p w14:paraId="5FFBA1DE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Закон Воронежской области от 05.01.1996 № 39-з (ред. от 05.06.2015) «О Контрольно-счетной палате Воронежской области».</w:t>
      </w:r>
    </w:p>
    <w:p w14:paraId="537D9BC9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Стандарт внешнего государственного аудита (контроля). Общие правила проведения экспертно-аналитических мероприятий (утв. Коллегией Счетной палаты РФ, протокол от 16.07.2010 N 36К(738)) (ред. от 25.07.2014).</w:t>
      </w:r>
    </w:p>
    <w:p w14:paraId="14CE5B91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Общие правила проведения контрольного мероприятия (утв. Коллегией Счетной Палаты РФ, протокол от 02.04.2010 N 15К (717)) (ред. от 17.07.2015) / Правовая система «</w:t>
      </w:r>
      <w:proofErr w:type="spellStart"/>
      <w:r w:rsidRPr="00B60B2C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>».</w:t>
      </w:r>
    </w:p>
    <w:p w14:paraId="4B9B9295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ISSAI 12 - The Value and Benefits of Supreme Audit Institutions </w:t>
      </w:r>
      <w:r w:rsidRPr="00B60B2C">
        <w:rPr>
          <w:rFonts w:ascii="Times New Roman" w:hAnsi="Times New Roman" w:cs="Times New Roman"/>
          <w:sz w:val="28"/>
          <w:szCs w:val="28"/>
        </w:rPr>
        <w:t xml:space="preserve">– 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making a difference to the lives of citizens / </w:t>
      </w:r>
      <w:r w:rsidRPr="00B60B2C">
        <w:rPr>
          <w:rFonts w:ascii="Times New Roman" w:hAnsi="Times New Roman" w:cs="Times New Roman"/>
          <w:sz w:val="28"/>
          <w:szCs w:val="28"/>
        </w:rPr>
        <w:t xml:space="preserve">«Значение и преимущества высших органов аудита - влияние на жизнь граждан» </w:t>
      </w:r>
      <w:r w:rsidRPr="00B60B2C">
        <w:rPr>
          <w:rFonts w:ascii="Times New Roman" w:hAnsi="Times New Roman" w:cs="Times New Roman"/>
          <w:sz w:val="28"/>
          <w:szCs w:val="28"/>
          <w:lang w:val="pt-PT"/>
        </w:rPr>
        <w:t>[</w:t>
      </w:r>
      <w:r w:rsidRPr="00B60B2C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>: http://www.issai.org].</w:t>
      </w:r>
    </w:p>
    <w:p w14:paraId="2A532DDB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ISSAI 20 – 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Principles of transparency and accountability / </w:t>
      </w:r>
      <w:r w:rsidRPr="00B60B2C">
        <w:rPr>
          <w:rFonts w:ascii="Times New Roman" w:hAnsi="Times New Roman" w:cs="Times New Roman"/>
          <w:sz w:val="28"/>
          <w:szCs w:val="28"/>
        </w:rPr>
        <w:t xml:space="preserve">«Принципы прозрачности и подотчетности» </w:t>
      </w:r>
      <w:r w:rsidRPr="00B60B2C">
        <w:rPr>
          <w:rFonts w:ascii="Times New Roman" w:hAnsi="Times New Roman" w:cs="Times New Roman"/>
          <w:sz w:val="28"/>
          <w:szCs w:val="28"/>
          <w:lang w:val="pt-PT"/>
        </w:rPr>
        <w:t>[</w:t>
      </w:r>
      <w:r w:rsidRPr="00B60B2C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>: http://www.issai.org].</w:t>
      </w:r>
    </w:p>
    <w:p w14:paraId="5412E839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ISSAI 21 – 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Principles of Transparency and Accountability - Principles and Good Practices / </w:t>
      </w:r>
      <w:r w:rsidRPr="00B60B2C">
        <w:rPr>
          <w:rFonts w:ascii="Times New Roman" w:hAnsi="Times New Roman" w:cs="Times New Roman"/>
          <w:sz w:val="28"/>
          <w:szCs w:val="28"/>
        </w:rPr>
        <w:t xml:space="preserve">«Принципы прозрачности и подотчетности. Принципы и лучшие практики» </w:t>
      </w:r>
      <w:r w:rsidRPr="00B60B2C">
        <w:rPr>
          <w:rFonts w:ascii="Times New Roman" w:hAnsi="Times New Roman" w:cs="Times New Roman"/>
          <w:sz w:val="28"/>
          <w:szCs w:val="28"/>
          <w:lang w:val="pt-PT"/>
        </w:rPr>
        <w:t>[</w:t>
      </w:r>
      <w:r w:rsidRPr="00B60B2C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: http://www.issai.org]; ISSAI 30 </w:t>
      </w:r>
      <w:r w:rsidRPr="00B60B2C">
        <w:rPr>
          <w:rFonts w:ascii="Times New Roman" w:hAnsi="Times New Roman" w:cs="Times New Roman"/>
          <w:sz w:val="28"/>
          <w:szCs w:val="28"/>
        </w:rPr>
        <w:t xml:space="preserve">– 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Code of Ethics / </w:t>
      </w:r>
      <w:r w:rsidRPr="00B60B2C">
        <w:rPr>
          <w:rFonts w:ascii="Times New Roman" w:hAnsi="Times New Roman" w:cs="Times New Roman"/>
          <w:sz w:val="28"/>
          <w:szCs w:val="28"/>
        </w:rPr>
        <w:t xml:space="preserve">«Кодекс этики» </w:t>
      </w:r>
      <w:r w:rsidRPr="00B60B2C">
        <w:rPr>
          <w:rFonts w:ascii="Times New Roman" w:hAnsi="Times New Roman" w:cs="Times New Roman"/>
          <w:sz w:val="28"/>
          <w:szCs w:val="28"/>
          <w:lang w:val="pt-PT"/>
        </w:rPr>
        <w:t>[</w:t>
      </w:r>
      <w:r w:rsidRPr="00B60B2C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>: http://www.issai.org]</w:t>
      </w:r>
      <w:r w:rsidRPr="00B60B2C">
        <w:rPr>
          <w:rFonts w:ascii="Times New Roman" w:hAnsi="Times New Roman" w:cs="Times New Roman"/>
          <w:sz w:val="28"/>
          <w:szCs w:val="28"/>
        </w:rPr>
        <w:t>.</w:t>
      </w:r>
    </w:p>
    <w:p w14:paraId="7463BF5A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Выступление В.В. Путина на Семинаре-совещании председателей судов (16 февраля 2016 г.), посвящённом вопросам укрепления законности, улучшения делового климата, защиты прав граждан, анализу хода реформы судоустройства </w:t>
      </w:r>
      <w:r w:rsidRPr="00B60B2C">
        <w:rPr>
          <w:rFonts w:ascii="Times New Roman" w:hAnsi="Times New Roman" w:cs="Times New Roman"/>
          <w:sz w:val="28"/>
          <w:szCs w:val="28"/>
          <w:lang w:val="pt-PT"/>
        </w:rPr>
        <w:t>[</w:t>
      </w:r>
      <w:r w:rsidRPr="00B60B2C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>: http://www.kremlin.ru/events/president/news/51343].</w:t>
      </w:r>
    </w:p>
    <w:p w14:paraId="31B0C812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proofErr w:type="spellStart"/>
      <w:r w:rsidRPr="00B60B2C">
        <w:rPr>
          <w:rFonts w:ascii="Times New Roman" w:hAnsi="Times New Roman" w:cs="Times New Roman"/>
          <w:sz w:val="28"/>
          <w:szCs w:val="28"/>
        </w:rPr>
        <w:t>Двуреченских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> В.А. Основы государственного аудита. М.: Издательство Патриот, 2011. – 447 с.</w:t>
      </w:r>
    </w:p>
    <w:p w14:paraId="65F8356D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lastRenderedPageBreak/>
        <w:t>Демьяненко Л.И. Совершенствование правовой базы противодействия коррупции как фактор укрепления законности в финансово-бюджетной сфере // Вестник АКСОР. 2015. № 1. С. 133–137.</w:t>
      </w:r>
    </w:p>
    <w:p w14:paraId="7E267D19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 xml:space="preserve">Заседание Совета по противодействию коррупции </w:t>
      </w:r>
      <w:r w:rsidRPr="00B60B2C">
        <w:rPr>
          <w:rFonts w:ascii="Times New Roman" w:hAnsi="Times New Roman" w:cs="Times New Roman"/>
          <w:sz w:val="28"/>
          <w:szCs w:val="28"/>
          <w:lang w:val="pt-PT"/>
        </w:rPr>
        <w:t>[</w:t>
      </w:r>
      <w:r w:rsidRPr="00B60B2C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>: http://www.kremlin.ru/catalog/keywords/93/events/51207]</w:t>
      </w:r>
      <w:r w:rsidRPr="00B60B2C">
        <w:rPr>
          <w:rFonts w:ascii="Times New Roman" w:hAnsi="Times New Roman" w:cs="Times New Roman"/>
          <w:sz w:val="28"/>
          <w:szCs w:val="28"/>
        </w:rPr>
        <w:t>.</w:t>
      </w:r>
    </w:p>
    <w:p w14:paraId="259A1481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proofErr w:type="spellStart"/>
      <w:r w:rsidRPr="00B60B2C">
        <w:rPr>
          <w:rFonts w:ascii="Times New Roman" w:hAnsi="Times New Roman" w:cs="Times New Roman"/>
          <w:sz w:val="28"/>
          <w:szCs w:val="28"/>
        </w:rPr>
        <w:t>Кузнеченкова</w:t>
      </w:r>
      <w:proofErr w:type="spellEnd"/>
      <w:r w:rsidRPr="00B60B2C">
        <w:rPr>
          <w:rFonts w:ascii="Times New Roman" w:hAnsi="Times New Roman" w:cs="Times New Roman"/>
          <w:sz w:val="28"/>
          <w:szCs w:val="28"/>
        </w:rPr>
        <w:t xml:space="preserve"> В.Е. Роль Счетной палаты Российской Федерации в противодействии коррупции в финансово-бюджетной сфере // Финансовое право. 2012. № 6. С. 2–5.</w:t>
      </w:r>
    </w:p>
    <w:p w14:paraId="23116C69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Омельченко В.В. Внешний государственный контроль управления национальными ресурсами: риск-ориентированный подход // Вестник АКСОР. 2015. № </w:t>
      </w:r>
      <w:r w:rsidRPr="00B60B2C">
        <w:rPr>
          <w:rFonts w:ascii="Times New Roman" w:hAnsi="Times New Roman" w:cs="Times New Roman"/>
          <w:sz w:val="28"/>
          <w:szCs w:val="28"/>
          <w:lang w:val="it-IT"/>
        </w:rPr>
        <w:t>3. C.</w:t>
      </w:r>
      <w:r w:rsidRPr="00B60B2C">
        <w:rPr>
          <w:rFonts w:ascii="Times New Roman" w:hAnsi="Times New Roman" w:cs="Times New Roman"/>
          <w:sz w:val="28"/>
          <w:szCs w:val="28"/>
        </w:rPr>
        <w:t> 98–110.</w:t>
      </w:r>
    </w:p>
    <w:p w14:paraId="6E78BFEC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Тезисы выступления Председателя Счетной палаты Российской Федерации Т.А. Голиковой на заседании Совета при Президенте Российской Федерац</w:t>
      </w:r>
      <w:r w:rsidR="00454F03" w:rsidRPr="00B60B2C">
        <w:rPr>
          <w:rFonts w:ascii="Times New Roman" w:hAnsi="Times New Roman" w:cs="Times New Roman"/>
          <w:sz w:val="28"/>
          <w:szCs w:val="28"/>
        </w:rPr>
        <w:t>ии по противодействию коррупции</w:t>
      </w:r>
      <w:r w:rsidRPr="00B60B2C">
        <w:rPr>
          <w:rFonts w:ascii="Times New Roman" w:hAnsi="Times New Roman" w:cs="Times New Roman"/>
          <w:sz w:val="28"/>
          <w:szCs w:val="28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  <w:lang w:val="pt-PT"/>
        </w:rPr>
        <w:t>[</w:t>
      </w:r>
      <w:r w:rsidRPr="00B60B2C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>: http://audit.gov.ru/structure/golikova-tatyana-alekseevna/speeches/25421/?sphrase_id=1761153]</w:t>
      </w:r>
      <w:r w:rsidRPr="00B60B2C">
        <w:rPr>
          <w:rFonts w:ascii="Times New Roman" w:hAnsi="Times New Roman" w:cs="Times New Roman"/>
          <w:sz w:val="28"/>
          <w:szCs w:val="28"/>
        </w:rPr>
        <w:t>.</w:t>
      </w:r>
    </w:p>
    <w:p w14:paraId="2967C163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eastAsia="Calibri Light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Хорунжий С.Н. Доктринальные аспекты правовой среды. Воронеж: Издательско-полиграфический центр «Научная книга», 2014. – 231 с.</w:t>
      </w:r>
    </w:p>
    <w:p w14:paraId="0C72C829" w14:textId="77777777" w:rsidR="007D1383" w:rsidRPr="00B60B2C" w:rsidRDefault="00122553" w:rsidP="0095405E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2C">
        <w:rPr>
          <w:rFonts w:ascii="Times New Roman" w:hAnsi="Times New Roman" w:cs="Times New Roman"/>
          <w:sz w:val="28"/>
          <w:szCs w:val="28"/>
        </w:rPr>
        <w:t>Хорунжий С.Н. Ответственность за незаконное вознаграждение от имени юридического лица: межотраслевой аспект антикоррупционного регулирования в условиях модернизации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>современной правовой среды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B2C">
        <w:rPr>
          <w:rFonts w:ascii="Times New Roman" w:hAnsi="Times New Roman" w:cs="Times New Roman"/>
          <w:sz w:val="28"/>
          <w:szCs w:val="28"/>
        </w:rPr>
        <w:t xml:space="preserve">// Административное право и процесс. </w:t>
      </w:r>
      <w:bookmarkStart w:id="0" w:name="_GoBack"/>
      <w:bookmarkEnd w:id="0"/>
      <w:r w:rsidRPr="00B60B2C">
        <w:rPr>
          <w:rFonts w:ascii="Times New Roman" w:hAnsi="Times New Roman" w:cs="Times New Roman"/>
          <w:sz w:val="28"/>
          <w:szCs w:val="28"/>
        </w:rPr>
        <w:t>2015. №</w:t>
      </w:r>
      <w:r w:rsidRPr="00B60B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0B2C">
        <w:rPr>
          <w:rFonts w:ascii="Times New Roman" w:hAnsi="Times New Roman" w:cs="Times New Roman"/>
          <w:sz w:val="28"/>
          <w:szCs w:val="28"/>
        </w:rPr>
        <w:t>10. С. 46–49.</w:t>
      </w:r>
    </w:p>
    <w:sectPr w:rsidR="007D1383" w:rsidRPr="00B60B2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8E90F" w14:textId="77777777" w:rsidR="007F5DD9" w:rsidRDefault="007F5DD9">
      <w:r>
        <w:separator/>
      </w:r>
    </w:p>
  </w:endnote>
  <w:endnote w:type="continuationSeparator" w:id="0">
    <w:p w14:paraId="43B9E004" w14:textId="77777777" w:rsidR="007F5DD9" w:rsidRDefault="007F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9A402" w14:textId="77777777" w:rsidR="007D1383" w:rsidRDefault="007D138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62FCB" w14:textId="77777777" w:rsidR="007F5DD9" w:rsidRDefault="007F5DD9">
      <w:r>
        <w:separator/>
      </w:r>
    </w:p>
  </w:footnote>
  <w:footnote w:type="continuationSeparator" w:id="0">
    <w:p w14:paraId="2605FA8A" w14:textId="77777777" w:rsidR="007F5DD9" w:rsidRDefault="007F5DD9">
      <w:r>
        <w:continuationSeparator/>
      </w:r>
    </w:p>
  </w:footnote>
  <w:footnote w:type="continuationNotice" w:id="1">
    <w:p w14:paraId="3837F374" w14:textId="77777777" w:rsidR="007F5DD9" w:rsidRDefault="007F5DD9"/>
  </w:footnote>
  <w:footnote w:id="2">
    <w:p w14:paraId="39694FE4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Федеральный закон от 05.04.2013 № 41-ФЗ (ред. от 27.10.2015) "О Счетной палате Российской Федерации"</w:t>
      </w:r>
    </w:p>
  </w:footnote>
  <w:footnote w:id="3">
    <w:p w14:paraId="182ABF33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Федеральный закон от 07.02.2011 № 6-ФЗ (ред. от 04.03.2014) 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</w:footnote>
  <w:footnote w:id="4">
    <w:p w14:paraId="3AF5CFC2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Например: статья 2 Закона Воронежской области от 05.01.1996 № 39-з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(ред. от 05.06.2015)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«О Контрольно-счетной палате Воронежской области»; статьи 17, 26 Закона города Москвы от 30.06.2010 № 30 «О Контрольно-счетной пале Москвы»; статья 8 Закона Санкт-Петербурга от 13.07.2011 № 455-85 «О Контрольно-счетной палате Санкт-Петербурга» и др.</w:t>
      </w:r>
    </w:p>
  </w:footnote>
  <w:footnote w:id="5">
    <w:p w14:paraId="03302337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Тезисы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выступления Председателя Счетной палаты Российской Федерации Т.А. Голиковой на заседании Совета при Президенте Российской Федерации по противодействию коррупции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  <w:lang w:val="en-US"/>
        </w:rPr>
        <w:t>[</w:t>
      </w:r>
      <w:r w:rsidRPr="00634A7E">
        <w:rPr>
          <w:rFonts w:ascii="Times New Roman" w:eastAsia="Arial Unicode MS" w:hAnsi="Times New Roman" w:cs="Times New Roman"/>
        </w:rPr>
        <w:t xml:space="preserve">Электронный ресурс: </w:t>
      </w:r>
      <w:hyperlink r:id="rId1" w:history="1">
        <w:r w:rsidRPr="00634A7E">
          <w:rPr>
            <w:rStyle w:val="Hyperlink0"/>
            <w:rFonts w:ascii="Times New Roman" w:eastAsia="Arial Unicode MS" w:hAnsi="Times New Roman" w:cs="Times New Roman"/>
            <w:lang w:val="en-US"/>
          </w:rPr>
          <w:t>http://audit.gov.ru/structure/golikova-tatyana-alekseevna/speeches/25421/?sphrase_id=1761153]</w:t>
        </w:r>
      </w:hyperlink>
    </w:p>
  </w:footnote>
  <w:footnote w:id="6">
    <w:p w14:paraId="68C3B15F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Например: «Нецелевое расходование бюджетных средств» (ст. 285.1 УК РФ); «Нецелевое расходование средств государственных внебюджетных фондов» (ст. 285.2 УК РФ) и др.</w:t>
      </w:r>
    </w:p>
  </w:footnote>
  <w:footnote w:id="7">
    <w:p w14:paraId="367872CA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Подробнее см.: Хорунжий С.Н. Доктринальные аспекты правовой среды. Воронеж, 2014; Концепция инновационного развития правовой среды / О. И. Чердаков, Н. А. Жильцов. М., 2013.</w:t>
      </w:r>
    </w:p>
  </w:footnote>
  <w:footnote w:id="8">
    <w:p w14:paraId="45D881BB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Указ Президента РФ от 31.12.2015 № 683 «О Стратегии национальной безопасности Российской Федерации»</w:t>
      </w:r>
    </w:p>
  </w:footnote>
  <w:footnote w:id="9">
    <w:p w14:paraId="1DF5AE50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Достаточно обратить внимание на постоянный поиск наиболее эффективной отраслевой принадлежности данного института, а также на неоднократную трансформацию его содержания. В настоящее время конфликт интересов определяется как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В свою очередь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самим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 (ст. 10 Федерального закона от 25.12.2008 № 273-ФЗ (ред. от 15.02.2016) «О противодействии коррупции».</w:t>
      </w:r>
    </w:p>
  </w:footnote>
  <w:footnote w:id="10">
    <w:p w14:paraId="752D028F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 xml:space="preserve">Заседание Совета по противодействию коррупции </w:t>
      </w:r>
      <w:r w:rsidRPr="00634A7E">
        <w:rPr>
          <w:rFonts w:ascii="Times New Roman" w:eastAsia="Arial Unicode MS" w:hAnsi="Times New Roman" w:cs="Times New Roman"/>
          <w:lang w:val="en-US"/>
        </w:rPr>
        <w:t>[</w:t>
      </w:r>
      <w:r w:rsidRPr="00634A7E">
        <w:rPr>
          <w:rFonts w:ascii="Times New Roman" w:eastAsia="Arial Unicode MS" w:hAnsi="Times New Roman" w:cs="Times New Roman"/>
        </w:rPr>
        <w:t xml:space="preserve">Электронный ресурс: </w:t>
      </w:r>
      <w:hyperlink r:id="rId2" w:history="1">
        <w:r w:rsidRPr="00634A7E">
          <w:rPr>
            <w:rStyle w:val="Hyperlink0"/>
            <w:rFonts w:ascii="Times New Roman" w:eastAsia="Arial Unicode MS" w:hAnsi="Times New Roman" w:cs="Times New Roman"/>
            <w:lang w:val="en-US"/>
          </w:rPr>
          <w:t>http://www.kremlin.ru/catalog/keywords/93/events/51207</w:t>
        </w:r>
      </w:hyperlink>
      <w:r w:rsidRPr="00634A7E">
        <w:rPr>
          <w:rFonts w:ascii="Times New Roman" w:eastAsia="Arial Unicode MS" w:hAnsi="Times New Roman" w:cs="Times New Roman"/>
          <w:lang w:val="en-US"/>
        </w:rPr>
        <w:t>]</w:t>
      </w:r>
    </w:p>
  </w:footnote>
  <w:footnote w:id="11">
    <w:p w14:paraId="5AC81D6F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Подробнее см.: Хорунжий С.Н. Ответственность за незаконное вознаграждение от имени юридического лица: межотраслевой аспект антикоррупционного регулирования в условиях модернизации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современной правовой среды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// Административное право и процесс. 2015. № 10. С. 46–49.</w:t>
      </w:r>
    </w:p>
  </w:footnote>
  <w:footnote w:id="12">
    <w:p w14:paraId="4A1E2455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См. например: Представление Счетной палаты РФ от 28.05.2015 № ПР 09-82/09-05 «О результатах контрольного мероприятия "Проверка исполнения Федерального закона "О федеральном бюджете на 2014 год и на плановый период 2015 и 2016 годов" и бюджетной отчетности об исполнении федерального бюджета за 2014 год в Федеральном агентстве по недропользованию»; Представление Счетной палаты РФ от 07.07.2015 № ПР 14-163/14-04 и др.</w:t>
      </w:r>
    </w:p>
  </w:footnote>
  <w:footnote w:id="13">
    <w:p w14:paraId="0164B822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См. например: Омельченко В.В. Внешний государственный контроль управления национальными ресурсами: риск-ориентированный подход // Вестник АКСОР. 2015. № 3.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C</w:t>
      </w:r>
      <w:r w:rsidRPr="00634A7E">
        <w:rPr>
          <w:rFonts w:ascii="Times New Roman" w:eastAsia="Arial Unicode MS" w:hAnsi="Times New Roman" w:cs="Times New Roman"/>
        </w:rPr>
        <w:t>. </w:t>
      </w:r>
      <w:r w:rsidRPr="00634A7E">
        <w:rPr>
          <w:rFonts w:ascii="Times New Roman" w:eastAsia="Arial Unicode MS" w:hAnsi="Times New Roman" w:cs="Times New Roman"/>
          <w:lang w:val="en-US"/>
        </w:rPr>
        <w:t>98</w:t>
      </w:r>
      <w:r w:rsidRPr="00634A7E">
        <w:rPr>
          <w:rFonts w:ascii="Times New Roman" w:eastAsia="Arial Unicode MS" w:hAnsi="Times New Roman" w:cs="Times New Roman"/>
        </w:rPr>
        <w:t>–</w:t>
      </w:r>
      <w:r w:rsidRPr="00634A7E">
        <w:rPr>
          <w:rFonts w:ascii="Times New Roman" w:eastAsia="Arial Unicode MS" w:hAnsi="Times New Roman" w:cs="Times New Roman"/>
          <w:lang w:val="en-US"/>
        </w:rPr>
        <w:t>110</w:t>
      </w:r>
      <w:r w:rsidRPr="00634A7E">
        <w:rPr>
          <w:rFonts w:ascii="Times New Roman" w:eastAsia="Arial Unicode MS" w:hAnsi="Times New Roman" w:cs="Times New Roman"/>
        </w:rPr>
        <w:t xml:space="preserve">; Демьяненко Л.И. Совершенствование правовой базы противодействия коррупции как фактор укрепления законности в финансово-бюджетной сфере // Вестник АКСОР. 2015. № 1. С. 133–137; </w:t>
      </w:r>
      <w:proofErr w:type="spellStart"/>
      <w:r w:rsidRPr="00634A7E">
        <w:rPr>
          <w:rFonts w:ascii="Times New Roman" w:eastAsia="Arial Unicode MS" w:hAnsi="Times New Roman" w:cs="Times New Roman"/>
        </w:rPr>
        <w:t>Кузнеченкова</w:t>
      </w:r>
      <w:proofErr w:type="spellEnd"/>
      <w:r w:rsidRPr="00634A7E">
        <w:rPr>
          <w:rFonts w:ascii="Times New Roman" w:eastAsia="Arial Unicode MS" w:hAnsi="Times New Roman" w:cs="Times New Roman"/>
        </w:rPr>
        <w:t xml:space="preserve"> В.Е. Роль Счетной палаты Российской Федерации в противодействии коррупции в финансово-бюджетной сфере // Финансовое право. 2012. № 6. С. 2–5.</w:t>
      </w:r>
    </w:p>
  </w:footnote>
  <w:footnote w:id="14">
    <w:p w14:paraId="0FF8AF5F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 xml:space="preserve">См.: Выступление В.В. Путина на Семинаре-совещании председателей судов (16 февраля 2016 г.), посвящённом вопросам укрепления законности, улучшения делового климата, защиты прав граждан, анализу хода реформы судоустройства </w:t>
      </w:r>
      <w:r w:rsidRPr="00634A7E">
        <w:rPr>
          <w:rFonts w:ascii="Times New Roman" w:eastAsia="Arial Unicode MS" w:hAnsi="Times New Roman" w:cs="Times New Roman"/>
          <w:lang w:val="en-US"/>
        </w:rPr>
        <w:t>[</w:t>
      </w:r>
      <w:r w:rsidRPr="00634A7E">
        <w:rPr>
          <w:rFonts w:ascii="Times New Roman" w:eastAsia="Arial Unicode MS" w:hAnsi="Times New Roman" w:cs="Times New Roman"/>
        </w:rPr>
        <w:t>Электронный ресурс: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</w:t>
      </w:r>
      <w:hyperlink r:id="rId3" w:history="1">
        <w:r w:rsidRPr="00634A7E">
          <w:rPr>
            <w:rStyle w:val="Hyperlink0"/>
            <w:rFonts w:ascii="Times New Roman" w:eastAsia="Arial Unicode MS" w:hAnsi="Times New Roman" w:cs="Times New Roman"/>
            <w:lang w:val="en-US"/>
          </w:rPr>
          <w:t>http://www.kremlin.ru/events/president/news/51343</w:t>
        </w:r>
      </w:hyperlink>
      <w:r w:rsidRPr="00634A7E">
        <w:rPr>
          <w:rFonts w:ascii="Times New Roman" w:eastAsia="Arial Unicode MS" w:hAnsi="Times New Roman" w:cs="Times New Roman"/>
          <w:lang w:val="en-US"/>
        </w:rPr>
        <w:t>]</w:t>
      </w:r>
      <w:r w:rsidRPr="00634A7E">
        <w:rPr>
          <w:rFonts w:ascii="Times New Roman" w:eastAsia="Arial Unicode MS" w:hAnsi="Times New Roman" w:cs="Times New Roman"/>
        </w:rPr>
        <w:t>.</w:t>
      </w:r>
    </w:p>
  </w:footnote>
  <w:footnote w:id="15">
    <w:p w14:paraId="526C79C6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Стандарт внешнего государственного аудита (контроля). Общие правила проведения экспертно-аналитических мероприятий (утв. Коллегией Счетной палаты РФ, протокол от 16.07.2010 N 36К(738)) (ред. от 25.07.2014).</w:t>
      </w:r>
    </w:p>
  </w:footnote>
  <w:footnote w:id="16">
    <w:p w14:paraId="268870FE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> </w:t>
      </w:r>
      <w:r w:rsidRPr="00634A7E">
        <w:rPr>
          <w:rFonts w:ascii="Times New Roman" w:eastAsia="Arial Unicode MS" w:hAnsi="Times New Roman" w:cs="Times New Roman"/>
        </w:rPr>
        <w:t>Общие правила проведения контрольного мероприятия (утв. Коллегией Счетной Палаты РФ, протокол от 02.04.2010 N 15К (717)) (ред. от 17.07.2015) / Правовая система «</w:t>
      </w:r>
      <w:proofErr w:type="spellStart"/>
      <w:r w:rsidRPr="00634A7E">
        <w:rPr>
          <w:rFonts w:ascii="Times New Roman" w:eastAsia="Arial Unicode MS" w:hAnsi="Times New Roman" w:cs="Times New Roman"/>
        </w:rPr>
        <w:t>КонсультантПлюс</w:t>
      </w:r>
      <w:proofErr w:type="spellEnd"/>
      <w:r w:rsidRPr="00634A7E">
        <w:rPr>
          <w:rFonts w:ascii="Times New Roman" w:eastAsia="Arial Unicode MS" w:hAnsi="Times New Roman" w:cs="Times New Roman"/>
        </w:rPr>
        <w:t>»</w:t>
      </w:r>
    </w:p>
  </w:footnote>
  <w:footnote w:id="17">
    <w:p w14:paraId="5B638A27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>ISSAI 12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-</w:t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The Value and Benefits of Supreme Audit Institutions </w:t>
      </w:r>
      <w:r w:rsidRPr="00634A7E">
        <w:rPr>
          <w:rFonts w:ascii="Times New Roman" w:eastAsia="Arial Unicode MS" w:hAnsi="Times New Roman" w:cs="Times New Roman"/>
        </w:rPr>
        <w:t xml:space="preserve">– </w:t>
      </w:r>
      <w:r w:rsidRPr="00634A7E">
        <w:rPr>
          <w:rFonts w:ascii="Times New Roman" w:eastAsia="Arial Unicode MS" w:hAnsi="Times New Roman" w:cs="Times New Roman"/>
          <w:lang w:val="en-US"/>
        </w:rPr>
        <w:t>making a difference to the lives of citizens</w:t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/ </w:t>
      </w:r>
      <w:r w:rsidRPr="00634A7E">
        <w:rPr>
          <w:rFonts w:ascii="Times New Roman" w:eastAsia="Arial Unicode MS" w:hAnsi="Times New Roman" w:cs="Times New Roman"/>
        </w:rPr>
        <w:t xml:space="preserve">«Значение и преимущества высших органов аудита - влияние на жизнь граждан» </w:t>
      </w:r>
      <w:r w:rsidRPr="00634A7E">
        <w:rPr>
          <w:rFonts w:ascii="Times New Roman" w:eastAsia="Arial Unicode MS" w:hAnsi="Times New Roman" w:cs="Times New Roman"/>
          <w:lang w:val="pt-PT"/>
        </w:rPr>
        <w:t>[</w:t>
      </w:r>
      <w:r w:rsidRPr="00634A7E">
        <w:rPr>
          <w:rFonts w:ascii="Times New Roman" w:eastAsia="Arial Unicode MS" w:hAnsi="Times New Roman" w:cs="Times New Roman"/>
        </w:rPr>
        <w:t>Электронный ресурс: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</w:t>
      </w:r>
      <w:hyperlink r:id="rId4" w:history="1">
        <w:r w:rsidRPr="00634A7E">
          <w:rPr>
            <w:rStyle w:val="Hyperlink0"/>
            <w:rFonts w:ascii="Times New Roman" w:eastAsia="Arial Unicode MS" w:hAnsi="Times New Roman" w:cs="Times New Roman"/>
            <w:lang w:val="en-US"/>
          </w:rPr>
          <w:t>http://www.issai.org</w:t>
        </w:r>
      </w:hyperlink>
      <w:r w:rsidRPr="00634A7E">
        <w:rPr>
          <w:rFonts w:ascii="Times New Roman" w:eastAsia="Arial Unicode MS" w:hAnsi="Times New Roman" w:cs="Times New Roman"/>
          <w:lang w:val="en-US"/>
        </w:rPr>
        <w:t>]</w:t>
      </w:r>
      <w:r w:rsidRPr="00634A7E">
        <w:rPr>
          <w:rFonts w:ascii="Times New Roman" w:eastAsia="Arial Unicode MS" w:hAnsi="Times New Roman" w:cs="Times New Roman"/>
        </w:rPr>
        <w:t>.</w:t>
      </w:r>
    </w:p>
  </w:footnote>
  <w:footnote w:id="18">
    <w:p w14:paraId="14B7D7C2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 xml:space="preserve">ISSAI 20 – 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Principles of transparency and accountability / </w:t>
      </w:r>
      <w:r w:rsidRPr="00634A7E">
        <w:rPr>
          <w:rFonts w:ascii="Times New Roman" w:eastAsia="Arial Unicode MS" w:hAnsi="Times New Roman" w:cs="Times New Roman"/>
        </w:rPr>
        <w:t xml:space="preserve">«Принципы прозрачности и подотчетности» </w:t>
      </w:r>
      <w:r w:rsidRPr="00634A7E">
        <w:rPr>
          <w:rFonts w:ascii="Times New Roman" w:eastAsia="Arial Unicode MS" w:hAnsi="Times New Roman" w:cs="Times New Roman"/>
          <w:lang w:val="pt-PT"/>
        </w:rPr>
        <w:t>[</w:t>
      </w:r>
      <w:r w:rsidRPr="00634A7E">
        <w:rPr>
          <w:rFonts w:ascii="Times New Roman" w:eastAsia="Arial Unicode MS" w:hAnsi="Times New Roman" w:cs="Times New Roman"/>
        </w:rPr>
        <w:t>Электронный ресурс: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</w:t>
      </w:r>
      <w:hyperlink r:id="rId5" w:history="1">
        <w:r w:rsidRPr="00634A7E">
          <w:rPr>
            <w:rStyle w:val="Hyperlink0"/>
            <w:rFonts w:ascii="Times New Roman" w:eastAsia="Arial Unicode MS" w:hAnsi="Times New Roman" w:cs="Times New Roman"/>
            <w:lang w:val="en-US"/>
          </w:rPr>
          <w:t>http://www.issai.org</w:t>
        </w:r>
      </w:hyperlink>
      <w:r w:rsidRPr="00634A7E">
        <w:rPr>
          <w:rFonts w:ascii="Times New Roman" w:eastAsia="Arial Unicode MS" w:hAnsi="Times New Roman" w:cs="Times New Roman"/>
          <w:lang w:val="en-US"/>
        </w:rPr>
        <w:t>]</w:t>
      </w:r>
      <w:r w:rsidRPr="00634A7E">
        <w:rPr>
          <w:rFonts w:ascii="Times New Roman" w:eastAsia="Arial Unicode MS" w:hAnsi="Times New Roman" w:cs="Times New Roman"/>
        </w:rPr>
        <w:t>.</w:t>
      </w:r>
    </w:p>
  </w:footnote>
  <w:footnote w:id="19">
    <w:p w14:paraId="6BDCDBEE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  <w:lang w:val="en-US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 xml:space="preserve">ISSAI 21 – 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Principles of Transparency and Accountability - Principles and Good Practices / </w:t>
      </w:r>
      <w:r w:rsidRPr="00634A7E">
        <w:rPr>
          <w:rFonts w:ascii="Times New Roman" w:eastAsia="Arial Unicode MS" w:hAnsi="Times New Roman" w:cs="Times New Roman"/>
        </w:rPr>
        <w:t>«Принципы прозрачности и подотчетности. Принципы и лучшие практики»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</w:t>
      </w:r>
      <w:r w:rsidRPr="00634A7E">
        <w:rPr>
          <w:rFonts w:ascii="Times New Roman" w:eastAsia="Arial Unicode MS" w:hAnsi="Times New Roman" w:cs="Times New Roman"/>
          <w:lang w:val="pt-PT"/>
        </w:rPr>
        <w:t>[</w:t>
      </w:r>
      <w:r w:rsidRPr="00634A7E">
        <w:rPr>
          <w:rFonts w:ascii="Times New Roman" w:eastAsia="Arial Unicode MS" w:hAnsi="Times New Roman" w:cs="Times New Roman"/>
        </w:rPr>
        <w:t>Электронный ресурс: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</w:t>
      </w:r>
      <w:hyperlink r:id="rId6" w:history="1">
        <w:r w:rsidRPr="00634A7E">
          <w:rPr>
            <w:rStyle w:val="Hyperlink0"/>
            <w:rFonts w:ascii="Times New Roman" w:eastAsia="Arial Unicode MS" w:hAnsi="Times New Roman" w:cs="Times New Roman"/>
            <w:lang w:val="en-US"/>
          </w:rPr>
          <w:t>http://www.issai.org</w:t>
        </w:r>
      </w:hyperlink>
      <w:r w:rsidRPr="00634A7E">
        <w:rPr>
          <w:rFonts w:ascii="Times New Roman" w:eastAsia="Arial Unicode MS" w:hAnsi="Times New Roman" w:cs="Times New Roman"/>
          <w:lang w:val="en-US"/>
        </w:rPr>
        <w:t>]</w:t>
      </w:r>
      <w:r w:rsidRPr="00634A7E">
        <w:rPr>
          <w:rFonts w:ascii="Times New Roman" w:eastAsia="Arial Unicode MS" w:hAnsi="Times New Roman" w:cs="Times New Roman"/>
        </w:rPr>
        <w:t xml:space="preserve">; ISSAI 30 – </w:t>
      </w:r>
      <w:r w:rsidRPr="00634A7E">
        <w:rPr>
          <w:rFonts w:ascii="Times New Roman" w:eastAsia="Arial Unicode MS" w:hAnsi="Times New Roman" w:cs="Times New Roman"/>
          <w:lang w:val="en-US"/>
        </w:rPr>
        <w:t>Code of Ethics</w:t>
      </w:r>
      <w:r w:rsidRPr="00634A7E">
        <w:rPr>
          <w:rFonts w:ascii="Times New Roman" w:eastAsia="Arial Unicode MS" w:hAnsi="Times New Roman" w:cs="Times New Roman"/>
        </w:rPr>
        <w:t xml:space="preserve"> / «Кодекс этики» </w:t>
      </w:r>
      <w:r w:rsidRPr="00634A7E">
        <w:rPr>
          <w:rFonts w:ascii="Times New Roman" w:eastAsia="Arial Unicode MS" w:hAnsi="Times New Roman" w:cs="Times New Roman"/>
          <w:lang w:val="pt-PT"/>
        </w:rPr>
        <w:t>[</w:t>
      </w:r>
      <w:r w:rsidRPr="00634A7E">
        <w:rPr>
          <w:rFonts w:ascii="Times New Roman" w:eastAsia="Arial Unicode MS" w:hAnsi="Times New Roman" w:cs="Times New Roman"/>
        </w:rPr>
        <w:t>Электронный ресурс:</w:t>
      </w:r>
      <w:r w:rsidRPr="00634A7E">
        <w:rPr>
          <w:rFonts w:ascii="Times New Roman" w:eastAsia="Arial Unicode MS" w:hAnsi="Times New Roman" w:cs="Times New Roman"/>
          <w:lang w:val="en-US"/>
        </w:rPr>
        <w:t xml:space="preserve"> </w:t>
      </w:r>
      <w:hyperlink r:id="rId7" w:history="1">
        <w:r w:rsidRPr="00634A7E">
          <w:rPr>
            <w:rStyle w:val="Hyperlink0"/>
            <w:rFonts w:ascii="Times New Roman" w:eastAsia="Arial Unicode MS" w:hAnsi="Times New Roman" w:cs="Times New Roman"/>
            <w:lang w:val="en-US"/>
          </w:rPr>
          <w:t>http://www.issai.org</w:t>
        </w:r>
      </w:hyperlink>
      <w:r w:rsidRPr="00634A7E">
        <w:rPr>
          <w:rFonts w:ascii="Times New Roman" w:eastAsia="Arial Unicode MS" w:hAnsi="Times New Roman" w:cs="Times New Roman"/>
          <w:lang w:val="en-US"/>
        </w:rPr>
        <w:t>]</w:t>
      </w:r>
    </w:p>
  </w:footnote>
  <w:footnote w:id="20">
    <w:p w14:paraId="12EE2AFB" w14:textId="77777777" w:rsidR="007D1383" w:rsidRPr="00634A7E" w:rsidRDefault="00122553">
      <w:pPr>
        <w:pStyle w:val="a5"/>
        <w:rPr>
          <w:rFonts w:ascii="Times New Roman" w:hAnsi="Times New Roman" w:cs="Times New Roman"/>
        </w:rPr>
      </w:pPr>
      <w:r w:rsidRPr="00634A7E">
        <w:rPr>
          <w:rFonts w:ascii="Times New Roman" w:hAnsi="Times New Roman" w:cs="Times New Roman"/>
          <w:vertAlign w:val="superscript"/>
        </w:rPr>
        <w:footnoteRef/>
      </w:r>
      <w:r w:rsidRPr="00634A7E">
        <w:rPr>
          <w:rFonts w:ascii="Times New Roman" w:eastAsia="Arial Unicode MS" w:hAnsi="Times New Roman" w:cs="Times New Roman"/>
        </w:rPr>
        <w:t xml:space="preserve"> </w:t>
      </w:r>
      <w:r w:rsidRPr="00634A7E">
        <w:rPr>
          <w:rFonts w:ascii="Times New Roman" w:eastAsia="Arial Unicode MS" w:hAnsi="Times New Roman" w:cs="Times New Roman"/>
        </w:rPr>
        <w:t xml:space="preserve">О позитивном опыте применения Классификатора нарушений, недостатков и их последствий Контрольно-счетной палатой Москвы (в том числе в рамках реализации национального плана противодействия коррупции) см.: </w:t>
      </w:r>
      <w:proofErr w:type="spellStart"/>
      <w:r w:rsidRPr="00634A7E">
        <w:rPr>
          <w:rFonts w:ascii="Times New Roman" w:eastAsia="Arial Unicode MS" w:hAnsi="Times New Roman" w:cs="Times New Roman"/>
        </w:rPr>
        <w:t>Двуреченских</w:t>
      </w:r>
      <w:proofErr w:type="spellEnd"/>
      <w:r w:rsidRPr="00634A7E">
        <w:rPr>
          <w:rFonts w:ascii="Times New Roman" w:eastAsia="Arial Unicode MS" w:hAnsi="Times New Roman" w:cs="Times New Roman"/>
        </w:rPr>
        <w:t> В.А. Основы государственного аудита. М., 2011. С. 359 - 363.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5A2BA" w14:textId="77777777" w:rsidR="007D1383" w:rsidRDefault="007D13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83"/>
    <w:rsid w:val="000A4D1C"/>
    <w:rsid w:val="00122553"/>
    <w:rsid w:val="003167A9"/>
    <w:rsid w:val="00454F03"/>
    <w:rsid w:val="00634A7E"/>
    <w:rsid w:val="007D1383"/>
    <w:rsid w:val="007F5DD9"/>
    <w:rsid w:val="008007C9"/>
    <w:rsid w:val="0095405E"/>
    <w:rsid w:val="00A60467"/>
    <w:rsid w:val="00B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159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a5">
    <w:name w:val="Сноска"/>
    <w:pPr>
      <w:jc w:val="both"/>
    </w:pPr>
    <w:rPr>
      <w:rFonts w:ascii="Calibri Light" w:eastAsia="Calibri Light" w:hAnsi="Calibri Light" w:cs="Calibri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snhor@ksp-vrn.r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emlin.ru/events/president/news/51343" TargetMode="External"/><Relationship Id="rId4" Type="http://schemas.openxmlformats.org/officeDocument/2006/relationships/hyperlink" Target="http://www.issai.org" TargetMode="External"/><Relationship Id="rId5" Type="http://schemas.openxmlformats.org/officeDocument/2006/relationships/hyperlink" Target="http://www.issai.org" TargetMode="External"/><Relationship Id="rId6" Type="http://schemas.openxmlformats.org/officeDocument/2006/relationships/hyperlink" Target="http://www.issai.org" TargetMode="External"/><Relationship Id="rId7" Type="http://schemas.openxmlformats.org/officeDocument/2006/relationships/hyperlink" Target="http://www.issai.org" TargetMode="External"/><Relationship Id="rId1" Type="http://schemas.openxmlformats.org/officeDocument/2006/relationships/hyperlink" Target="http://audit.gov.ru/structure/golikova-tatyana-alekseevna/speeches/25421/?sphrase_id=1761153%5D" TargetMode="External"/><Relationship Id="rId2" Type="http://schemas.openxmlformats.org/officeDocument/2006/relationships/hyperlink" Target="http://www.kremlin.ru/catalog/keywords/93/events/51207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2988</Words>
  <Characters>17033</Characters>
  <Application>Microsoft Macintosh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Хорунжий</cp:lastModifiedBy>
  <cp:revision>3</cp:revision>
  <dcterms:created xsi:type="dcterms:W3CDTF">2016-02-29T08:13:00Z</dcterms:created>
  <dcterms:modified xsi:type="dcterms:W3CDTF">2016-02-29T08:14:00Z</dcterms:modified>
</cp:coreProperties>
</file>