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4B" w:rsidRPr="003C3AB5" w:rsidRDefault="00600B4B" w:rsidP="00600B4B">
      <w:pPr>
        <w:pStyle w:val="14"/>
        <w:rPr>
          <w:sz w:val="22"/>
          <w:szCs w:val="22"/>
        </w:rPr>
      </w:pPr>
      <w:r w:rsidRPr="003C3AB5">
        <w:rPr>
          <w:sz w:val="22"/>
          <w:szCs w:val="22"/>
        </w:rPr>
        <w:t xml:space="preserve">УДК </w:t>
      </w:r>
      <w:r w:rsidR="009A2A68">
        <w:rPr>
          <w:sz w:val="22"/>
          <w:szCs w:val="22"/>
        </w:rPr>
        <w:t>517</w:t>
      </w:r>
      <w:r w:rsidRPr="003C3AB5">
        <w:rPr>
          <w:sz w:val="22"/>
          <w:szCs w:val="22"/>
        </w:rPr>
        <w:t>.</w:t>
      </w:r>
      <w:r w:rsidR="009A2A68">
        <w:rPr>
          <w:sz w:val="22"/>
          <w:szCs w:val="22"/>
        </w:rPr>
        <w:t>1</w:t>
      </w:r>
    </w:p>
    <w:p w:rsidR="00600B4B" w:rsidRPr="003C3AB5" w:rsidRDefault="00821774" w:rsidP="00600B4B">
      <w:pPr>
        <w:pStyle w:val="10"/>
        <w:rPr>
          <w:sz w:val="24"/>
          <w:szCs w:val="24"/>
        </w:rPr>
      </w:pPr>
      <w:r>
        <w:rPr>
          <w:sz w:val="24"/>
          <w:szCs w:val="24"/>
        </w:rPr>
        <w:t>Аналоги вероятностных представлений решений эволюционных уравнений на многообразиях</w:t>
      </w:r>
    </w:p>
    <w:p w:rsidR="00600B4B" w:rsidRPr="003C3AB5" w:rsidRDefault="009A2A68" w:rsidP="00600B4B">
      <w:pPr>
        <w:pStyle w:val="11"/>
        <w:rPr>
          <w:sz w:val="22"/>
          <w:szCs w:val="22"/>
          <w:vertAlign w:val="superscript"/>
        </w:rPr>
      </w:pPr>
      <w:r>
        <w:rPr>
          <w:sz w:val="22"/>
          <w:szCs w:val="22"/>
        </w:rPr>
        <w:t>А. А. Лобода</w:t>
      </w:r>
    </w:p>
    <w:p w:rsidR="00403201" w:rsidRPr="00403201" w:rsidRDefault="009A2A68" w:rsidP="00600B4B">
      <w:pPr>
        <w:pStyle w:val="12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Московский государственный университет имени М. В. </w:t>
      </w:r>
      <w:r w:rsidR="00403201">
        <w:rPr>
          <w:sz w:val="22"/>
          <w:szCs w:val="22"/>
          <w:vertAlign w:val="superscript"/>
        </w:rPr>
        <w:t>Ломоносова,</w:t>
      </w:r>
    </w:p>
    <w:p w:rsidR="00600B4B" w:rsidRDefault="009A2A68" w:rsidP="00600B4B">
      <w:pPr>
        <w:pStyle w:val="12"/>
        <w:rPr>
          <w:sz w:val="22"/>
          <w:szCs w:val="22"/>
        </w:rPr>
      </w:pPr>
      <w:r>
        <w:rPr>
          <w:sz w:val="22"/>
          <w:szCs w:val="22"/>
          <w:vertAlign w:val="superscript"/>
        </w:rPr>
        <w:t>механико-математический факультет</w:t>
      </w:r>
    </w:p>
    <w:p w:rsidR="009A2A68" w:rsidRDefault="00982473" w:rsidP="002B164C">
      <w:pPr>
        <w:ind w:firstLine="708"/>
      </w:pPr>
      <w:r>
        <w:t xml:space="preserve">Вероятностные представления решений эволюционных уравнений – это представления решений с помощью интегралов по </w:t>
      </w:r>
      <w:r w:rsidR="000F7D44">
        <w:t xml:space="preserve">вероятностным мерам на </w:t>
      </w:r>
      <w:r w:rsidR="00D16D21">
        <w:t xml:space="preserve">подходящих </w:t>
      </w:r>
      <w:r w:rsidR="000F7D44">
        <w:t xml:space="preserve">множествах </w:t>
      </w:r>
      <w:r w:rsidR="00D16D21">
        <w:t>траекторий</w:t>
      </w:r>
      <w:r>
        <w:t xml:space="preserve">. Такие интегралы можно получать как пределы конечнократных интегралов, используя теоремы </w:t>
      </w:r>
      <w:r w:rsidR="00D16D21">
        <w:t xml:space="preserve">Чернова и </w:t>
      </w:r>
      <w:proofErr w:type="spellStart"/>
      <w:r w:rsidR="00D16D21">
        <w:t>Троттера</w:t>
      </w:r>
      <w:proofErr w:type="spellEnd"/>
      <w:r>
        <w:t xml:space="preserve">. В случае уравнения </w:t>
      </w:r>
      <w:proofErr w:type="spellStart"/>
      <w:r>
        <w:t>Шрёдингера</w:t>
      </w:r>
      <w:proofErr w:type="spellEnd"/>
      <w:r>
        <w:t xml:space="preserve"> такой подход приводит к функциональным интегралам по обобщённым мерам. Интегралы по обобщённым мерам могут быть получены также с помощью представлений решений функциональными интегралами уравнения теплопроводности. Для уравнения теплопроводности возникают функциональные интегралы по мере Винера. Если аналитически продолжить соответствующую </w:t>
      </w:r>
      <w:proofErr w:type="spellStart"/>
      <w:r>
        <w:t>гауссовскую</w:t>
      </w:r>
      <w:proofErr w:type="spellEnd"/>
      <w:r>
        <w:t xml:space="preserve"> экспоненту по параметру, то получается интеграл по обобщённой мере. При чис</w:t>
      </w:r>
      <w:r w:rsidR="000F7D44">
        <w:t xml:space="preserve">то мнимом значении параметра получится </w:t>
      </w:r>
      <w:r>
        <w:t xml:space="preserve">интеграл по мере Фейнмана, который является решением уравнения </w:t>
      </w:r>
      <w:proofErr w:type="spellStart"/>
      <w:r>
        <w:t>Шрёдингера</w:t>
      </w:r>
      <w:proofErr w:type="spellEnd"/>
      <w:r>
        <w:t>, ассоциированного с исходным уравнением теплопроводности</w:t>
      </w:r>
      <w:r w:rsidR="003C0326">
        <w:t xml:space="preserve"> (подробнее см. </w:t>
      </w:r>
      <w:r w:rsidR="003C0326">
        <w:rPr>
          <w:lang w:val="en-US"/>
        </w:rPr>
        <w:t>[1]</w:t>
      </w:r>
      <w:r w:rsidR="003C0326">
        <w:t>)</w:t>
      </w:r>
      <w:r>
        <w:t>. Область определения меры Фейнмана состоит из очень узкого класса функций</w:t>
      </w:r>
      <w:r w:rsidR="004F2889">
        <w:t>, поэтому если рассматривать уравнения на многообразиях, то не удаётся применить метод аналитического продолжения по параметру.</w:t>
      </w:r>
    </w:p>
    <w:p w:rsidR="004F2889" w:rsidRPr="004F2889" w:rsidRDefault="004F2889" w:rsidP="002B164C">
      <w:pPr>
        <w:ind w:firstLine="708"/>
      </w:pPr>
      <w:r>
        <w:t xml:space="preserve">Для уравнений на многообразиях подход с аналитическим продолжением возможен, если использовать представление решения уравнения теплопроводности на многообразии, а затем аналитически продолжать по аргументу подынтегральные функции. В аналитически продолженные функции подставляются </w:t>
      </w:r>
      <w:proofErr w:type="spellStart"/>
      <w:r>
        <w:t>винеровские</w:t>
      </w:r>
      <w:proofErr w:type="spellEnd"/>
      <w:r>
        <w:t xml:space="preserve"> процессы, умноженные на </w:t>
      </w:r>
      <w:proofErr w:type="spellStart"/>
      <w:r>
        <w:rPr>
          <w:lang w:val="en-US"/>
        </w:rPr>
        <w:t>e</w:t>
      </w:r>
      <w:r>
        <w:rPr>
          <w:vertAlign w:val="superscript"/>
          <w:lang w:val="en-US"/>
        </w:rPr>
        <w:t>i</w:t>
      </w:r>
      <w:proofErr w:type="spellEnd"/>
      <w:r>
        <w:rPr>
          <w:vertAlign w:val="superscript"/>
        </w:rPr>
        <w:t>п</w:t>
      </w:r>
      <w:r w:rsidRPr="004F2889">
        <w:rPr>
          <w:vertAlign w:val="superscript"/>
        </w:rPr>
        <w:t>/4</w:t>
      </w:r>
      <w:r>
        <w:t>, в</w:t>
      </w:r>
      <w:r w:rsidR="009C1412">
        <w:t xml:space="preserve"> результате чего</w:t>
      </w:r>
      <w:r>
        <w:t xml:space="preserve"> при некоторых ограничениях на начальные у</w:t>
      </w:r>
      <w:r w:rsidR="009C1412">
        <w:t xml:space="preserve">словия получается вероятностное представление решения уравнения </w:t>
      </w:r>
      <w:proofErr w:type="spellStart"/>
      <w:r w:rsidR="009C1412">
        <w:t>Шрёдингера</w:t>
      </w:r>
      <w:proofErr w:type="spellEnd"/>
      <w:r w:rsidR="003C0326">
        <w:t xml:space="preserve"> </w:t>
      </w:r>
      <w:r w:rsidR="003C0326" w:rsidRPr="003C0326">
        <w:t>(</w:t>
      </w:r>
      <w:r w:rsidR="003C0326">
        <w:t xml:space="preserve">для случая линейного пространства см. </w:t>
      </w:r>
      <w:r w:rsidR="003C0326">
        <w:rPr>
          <w:lang w:val="en-US"/>
        </w:rPr>
        <w:t>[3], [4]</w:t>
      </w:r>
      <w:r w:rsidR="003C0326" w:rsidRPr="003C0326">
        <w:t>)</w:t>
      </w:r>
      <w:r w:rsidR="009C1412">
        <w:t xml:space="preserve">. </w:t>
      </w:r>
      <w:r w:rsidR="00D16D21">
        <w:t>Соответствующие</w:t>
      </w:r>
      <w:r w:rsidR="000F7D44">
        <w:t xml:space="preserve"> </w:t>
      </w:r>
      <w:r w:rsidR="009C1412">
        <w:t xml:space="preserve">функциональные интегралы </w:t>
      </w:r>
      <w:r w:rsidR="000F7D44">
        <w:t xml:space="preserve">берутся </w:t>
      </w:r>
      <w:r w:rsidR="009C1412">
        <w:t>по мере на пространстве функций вещественного аргумента, принимающих зн</w:t>
      </w:r>
      <w:r w:rsidR="000F7D44">
        <w:t xml:space="preserve">ачения в римановом многообразии. </w:t>
      </w:r>
      <w:r w:rsidR="00291DAB">
        <w:t>Такие меры</w:t>
      </w:r>
      <w:r w:rsidR="009C1412">
        <w:t xml:space="preserve"> </w:t>
      </w:r>
      <w:r w:rsidR="00291DAB">
        <w:t>называю</w:t>
      </w:r>
      <w:r w:rsidR="00976A96">
        <w:t>тся поверхностными мерами</w:t>
      </w:r>
      <w:r w:rsidR="000F7D44">
        <w:t xml:space="preserve"> </w:t>
      </w:r>
      <w:proofErr w:type="spellStart"/>
      <w:r w:rsidR="000F7D44">
        <w:t>Смолянова</w:t>
      </w:r>
      <w:proofErr w:type="spellEnd"/>
      <w:r w:rsidR="00976A96" w:rsidRPr="00976A96">
        <w:t xml:space="preserve"> (</w:t>
      </w:r>
      <w:r w:rsidR="00976A96">
        <w:t>см</w:t>
      </w:r>
      <w:r w:rsidR="00976A96" w:rsidRPr="00976A96">
        <w:t>.</w:t>
      </w:r>
      <w:r w:rsidR="00976A96">
        <w:t xml:space="preserve"> </w:t>
      </w:r>
      <w:r w:rsidR="00976A96" w:rsidRPr="00976A96">
        <w:t>[</w:t>
      </w:r>
      <w:r w:rsidR="003C0326">
        <w:t>2</w:t>
      </w:r>
      <w:bookmarkStart w:id="0" w:name="_GoBack"/>
      <w:bookmarkEnd w:id="0"/>
      <w:r w:rsidR="00976A96" w:rsidRPr="00976A96">
        <w:t>])</w:t>
      </w:r>
      <w:r w:rsidR="009C1412">
        <w:t>.</w:t>
      </w:r>
    </w:p>
    <w:p w:rsidR="009A2A68" w:rsidRPr="003C3AB5" w:rsidRDefault="009A2A68" w:rsidP="00600B4B">
      <w:pPr>
        <w:pStyle w:val="12"/>
        <w:rPr>
          <w:sz w:val="22"/>
          <w:szCs w:val="22"/>
        </w:rPr>
      </w:pPr>
    </w:p>
    <w:p w:rsidR="00600B4B" w:rsidRPr="003C3AB5" w:rsidRDefault="00600B4B" w:rsidP="00600B4B">
      <w:pPr>
        <w:pStyle w:val="13"/>
        <w:rPr>
          <w:sz w:val="22"/>
          <w:szCs w:val="22"/>
        </w:rPr>
      </w:pPr>
      <w:r w:rsidRPr="003C3AB5">
        <w:rPr>
          <w:sz w:val="22"/>
          <w:szCs w:val="22"/>
        </w:rPr>
        <w:t>Литература</w:t>
      </w:r>
    </w:p>
    <w:p w:rsidR="00600B4B" w:rsidRPr="00976A96" w:rsidRDefault="009A2A68" w:rsidP="00600B4B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eastAsia="ru-RU"/>
        </w:rPr>
        <w:t>Смолянов</w:t>
      </w:r>
      <w:proofErr w:type="spellEnd"/>
      <w:r w:rsidRPr="009A2A6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>О</w:t>
      </w:r>
      <w:r w:rsidRPr="009A2A6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>Г</w:t>
      </w:r>
      <w:r w:rsidRPr="009A2A68">
        <w:rPr>
          <w:rFonts w:ascii="Times New Roman" w:hAnsi="Times New Roman" w:cs="Times New Roman"/>
          <w:i/>
          <w:sz w:val="20"/>
          <w:szCs w:val="20"/>
          <w:lang w:eastAsia="ru-RU"/>
        </w:rPr>
        <w:t>.</w:t>
      </w:r>
      <w:r w:rsidR="00D16D2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="00D16D21">
        <w:rPr>
          <w:rFonts w:ascii="Times New Roman" w:hAnsi="Times New Roman" w:cs="Times New Roman"/>
          <w:i/>
          <w:sz w:val="20"/>
          <w:szCs w:val="20"/>
          <w:lang w:eastAsia="ru-RU"/>
        </w:rPr>
        <w:t>Шавгулидзе</w:t>
      </w:r>
      <w:proofErr w:type="spellEnd"/>
      <w:r w:rsidR="00D16D2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Е. Т.</w:t>
      </w:r>
      <w:r w:rsidR="00600B4B" w:rsidRPr="009A2A6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16D21">
        <w:rPr>
          <w:rFonts w:ascii="Times New Roman" w:hAnsi="Times New Roman" w:cs="Times New Roman"/>
          <w:sz w:val="20"/>
          <w:szCs w:val="20"/>
          <w:lang w:eastAsia="ru-RU"/>
        </w:rPr>
        <w:t>Континуальные интегралы</w:t>
      </w:r>
      <w:r w:rsidR="00600B4B" w:rsidRPr="00D16D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00B4B" w:rsidRPr="00D16D2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//</w:t>
      </w:r>
      <w:r w:rsidR="003C3AB5" w:rsidRPr="00D16D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25D0C">
        <w:rPr>
          <w:rFonts w:ascii="Times New Roman" w:hAnsi="Times New Roman" w:cs="Times New Roman"/>
          <w:sz w:val="20"/>
          <w:szCs w:val="20"/>
          <w:lang w:eastAsia="ru-RU"/>
        </w:rPr>
        <w:t>2-е изд. М</w:t>
      </w:r>
      <w:r w:rsidR="00D25D0C" w:rsidRPr="00976A96">
        <w:rPr>
          <w:rFonts w:ascii="Times New Roman" w:hAnsi="Times New Roman" w:cs="Times New Roman"/>
          <w:sz w:val="20"/>
          <w:szCs w:val="20"/>
          <w:lang w:eastAsia="ru-RU"/>
        </w:rPr>
        <w:t xml:space="preserve">.: </w:t>
      </w:r>
      <w:r w:rsidR="00D25D0C">
        <w:rPr>
          <w:rFonts w:ascii="Times New Roman" w:hAnsi="Times New Roman" w:cs="Times New Roman"/>
          <w:sz w:val="20"/>
          <w:szCs w:val="20"/>
          <w:lang w:eastAsia="ru-RU"/>
        </w:rPr>
        <w:t>ЛЕНАНД</w:t>
      </w:r>
      <w:r w:rsidR="00D25D0C" w:rsidRPr="00976A96">
        <w:rPr>
          <w:rFonts w:ascii="Times New Roman" w:hAnsi="Times New Roman" w:cs="Times New Roman"/>
          <w:sz w:val="20"/>
          <w:szCs w:val="20"/>
          <w:lang w:eastAsia="ru-RU"/>
        </w:rPr>
        <w:t>. 2015.</w:t>
      </w:r>
      <w:r w:rsidR="00D25D0C">
        <w:rPr>
          <w:rFonts w:ascii="Times New Roman" w:hAnsi="Times New Roman" w:cs="Times New Roman"/>
          <w:sz w:val="20"/>
          <w:szCs w:val="20"/>
          <w:lang w:eastAsia="ru-RU"/>
        </w:rPr>
        <w:t xml:space="preserve"> 336 с.</w:t>
      </w:r>
    </w:p>
    <w:p w:rsidR="00976A96" w:rsidRDefault="00291DAB" w:rsidP="00976A96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en-US" w:eastAsia="ru-RU"/>
        </w:rPr>
        <w:t>Sidorova</w:t>
      </w:r>
      <w:proofErr w:type="spellEnd"/>
      <w:r w:rsidRPr="00976A9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 w:eastAsia="ru-RU"/>
        </w:rPr>
        <w:t>N</w:t>
      </w:r>
      <w:r w:rsidRPr="00976A9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en-US" w:eastAsia="ru-RU"/>
        </w:rPr>
        <w:t>A</w:t>
      </w:r>
      <w:r w:rsidR="00220B63" w:rsidRPr="00976A96">
        <w:rPr>
          <w:rFonts w:ascii="Times New Roman" w:hAnsi="Times New Roman" w:cs="Times New Roman"/>
          <w:i/>
          <w:sz w:val="20"/>
          <w:szCs w:val="20"/>
          <w:lang w:eastAsia="ru-RU"/>
        </w:rPr>
        <w:t>.</w:t>
      </w:r>
      <w:r w:rsidR="00600B4B" w:rsidRPr="00976A9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600B4B" w:rsidRPr="00976A9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="00220B63">
        <w:rPr>
          <w:rFonts w:ascii="Times New Roman" w:hAnsi="Times New Roman" w:cs="Times New Roman"/>
          <w:i/>
          <w:sz w:val="20"/>
          <w:szCs w:val="20"/>
          <w:lang w:val="en-US" w:eastAsia="ru-RU"/>
        </w:rPr>
        <w:t>Smolyanov</w:t>
      </w:r>
      <w:proofErr w:type="spellEnd"/>
      <w:r w:rsidR="00220B63">
        <w:rPr>
          <w:rFonts w:ascii="Times New Roman" w:hAnsi="Times New Roman" w:cs="Times New Roman"/>
          <w:i/>
          <w:sz w:val="20"/>
          <w:szCs w:val="20"/>
          <w:lang w:val="en-US" w:eastAsia="ru-RU"/>
        </w:rPr>
        <w:t xml:space="preserve"> O. G</w:t>
      </w:r>
      <w:r w:rsidR="00220B63">
        <w:rPr>
          <w:rFonts w:ascii="Times New Roman" w:hAnsi="Times New Roman" w:cs="Times New Roman"/>
          <w:sz w:val="20"/>
          <w:szCs w:val="20"/>
          <w:lang w:val="en-US" w:eastAsia="ru-RU"/>
        </w:rPr>
        <w:t>.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ru-RU"/>
        </w:rPr>
        <w:t>Weizsӓcker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H. v.,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ru-RU"/>
        </w:rPr>
        <w:t>Wittich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O.</w:t>
      </w:r>
      <w:r w:rsidR="00220B6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The surface limit of Brownian motion in tubular neighborhoods of an embedded Riemannian manifold</w:t>
      </w:r>
      <w:r w:rsidR="00600B4B" w:rsidRPr="003C3AB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//</w:t>
      </w:r>
      <w:r w:rsidR="00600B4B" w:rsidRPr="003C3AB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 xml:space="preserve">J.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ru-RU"/>
        </w:rPr>
        <w:t>Funct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ru-RU"/>
        </w:rPr>
        <w:t>. Anal.</w:t>
      </w:r>
      <w:r w:rsidR="000C0C51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 w:rsidR="00600B4B" w:rsidRPr="003C3AB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004</w:t>
      </w:r>
      <w:r w:rsidR="003C3AB5" w:rsidRPr="009A2A68">
        <w:rPr>
          <w:rFonts w:ascii="Times New Roman" w:hAnsi="Times New Roman" w:cs="Times New Roman"/>
          <w:sz w:val="20"/>
          <w:szCs w:val="20"/>
          <w:lang w:val="en-US" w:eastAsia="ru-RU"/>
        </w:rPr>
        <w:t>.</w:t>
      </w:r>
      <w:r w:rsidR="00600B4B" w:rsidRPr="009A2A68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№ 206</w:t>
      </w:r>
      <w:r w:rsidR="000C0C51" w:rsidRPr="00291DAB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. </w:t>
      </w:r>
      <w:r w:rsidR="00600B4B" w:rsidRPr="003C3AB5">
        <w:rPr>
          <w:rFonts w:ascii="Times New Roman" w:hAnsi="Times New Roman" w:cs="Times New Roman"/>
          <w:sz w:val="20"/>
          <w:szCs w:val="20"/>
          <w:lang w:val="en-US" w:eastAsia="ru-RU"/>
        </w:rPr>
        <w:t>P</w:t>
      </w:r>
      <w:r w:rsidR="000C0C51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391</w:t>
      </w:r>
      <w:r w:rsidR="000C0C51" w:rsidRPr="00291DAB">
        <w:rPr>
          <w:rFonts w:ascii="Times New Roman" w:hAnsi="Times New Roman" w:cs="Times New Roman"/>
          <w:sz w:val="20"/>
          <w:szCs w:val="20"/>
          <w:lang w:val="en-US" w:eastAsia="ru-RU"/>
        </w:rPr>
        <w:t>-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413</w:t>
      </w:r>
      <w:r w:rsidR="00600B4B" w:rsidRPr="009A2A68">
        <w:rPr>
          <w:rFonts w:ascii="Times New Roman" w:hAnsi="Times New Roman" w:cs="Times New Roman"/>
          <w:sz w:val="20"/>
          <w:szCs w:val="20"/>
          <w:lang w:val="en-US" w:eastAsia="ru-RU"/>
        </w:rPr>
        <w:t>.</w:t>
      </w:r>
    </w:p>
    <w:p w:rsidR="00976A96" w:rsidRPr="00976A96" w:rsidRDefault="000C0C51" w:rsidP="00976A96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proofErr w:type="spellStart"/>
      <w:r w:rsidRPr="00976A96">
        <w:rPr>
          <w:rFonts w:ascii="Times New Roman" w:hAnsi="Times New Roman" w:cs="Times New Roman"/>
          <w:i/>
          <w:sz w:val="20"/>
          <w:szCs w:val="20"/>
          <w:lang w:val="en-US" w:eastAsia="ru-RU"/>
        </w:rPr>
        <w:t>Loboda</w:t>
      </w:r>
      <w:proofErr w:type="spellEnd"/>
      <w:r w:rsidRPr="00976A96">
        <w:rPr>
          <w:rFonts w:ascii="Times New Roman" w:hAnsi="Times New Roman" w:cs="Times New Roman"/>
          <w:i/>
          <w:sz w:val="20"/>
          <w:szCs w:val="20"/>
          <w:lang w:val="en-US" w:eastAsia="ru-RU"/>
        </w:rPr>
        <w:t xml:space="preserve"> A. A. </w:t>
      </w:r>
      <w:r w:rsidR="00976A96" w:rsidRPr="00976A96">
        <w:rPr>
          <w:rFonts w:ascii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proofErr w:type="spellStart"/>
      <w:r w:rsidRPr="00976A96">
        <w:rPr>
          <w:rFonts w:ascii="Times New Roman" w:hAnsi="Times New Roman" w:cs="Times New Roman"/>
          <w:sz w:val="20"/>
          <w:szCs w:val="20"/>
          <w:lang w:val="en-US" w:eastAsia="ru-RU"/>
        </w:rPr>
        <w:t>Shrödinger</w:t>
      </w:r>
      <w:proofErr w:type="spellEnd"/>
      <w:r w:rsidRPr="00976A96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equation with Signed </w:t>
      </w:r>
      <w:r w:rsidR="00403201" w:rsidRPr="00976A96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Hamiltonian// </w:t>
      </w:r>
      <w:r w:rsidR="00403201" w:rsidRPr="00976A96">
        <w:rPr>
          <w:rFonts w:ascii="yandex-sans" w:hAnsi="yandex-sans"/>
          <w:color w:val="000000"/>
          <w:sz w:val="20"/>
          <w:szCs w:val="20"/>
          <w:shd w:val="clear" w:color="auto" w:fill="FFFFFF"/>
          <w:lang w:val="en-US"/>
        </w:rPr>
        <w:t>Russian Journal of Mathematical Physics. V. 27.</w:t>
      </w:r>
      <w:r w:rsidR="00976A96" w:rsidRPr="00976A96">
        <w:rPr>
          <w:rFonts w:ascii="yandex-sans" w:hAnsi="yandex-sans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403201" w:rsidRPr="00976A96">
        <w:rPr>
          <w:rFonts w:ascii="yandex-sans" w:hAnsi="yandex-sans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976A96" w:rsidRPr="00976A96">
        <w:rPr>
          <w:rFonts w:ascii="yandex-sans" w:hAnsi="yandex-sans"/>
          <w:color w:val="000000"/>
          <w:sz w:val="20"/>
          <w:szCs w:val="20"/>
          <w:shd w:val="clear" w:color="auto" w:fill="FFFFFF"/>
          <w:lang w:val="en-US"/>
        </w:rPr>
        <w:t>№</w:t>
      </w:r>
      <w:r w:rsidR="00403201" w:rsidRPr="00976A96">
        <w:rPr>
          <w:rFonts w:ascii="yandex-sans" w:hAnsi="yandex-sans"/>
          <w:color w:val="000000"/>
          <w:sz w:val="20"/>
          <w:szCs w:val="20"/>
          <w:shd w:val="clear" w:color="auto" w:fill="FFFFFF"/>
          <w:lang w:val="en-US"/>
        </w:rPr>
        <w:t>1. 2020.  p. 99–1</w:t>
      </w:r>
      <w:r w:rsidR="00403201" w:rsidRPr="00976A96">
        <w:rPr>
          <w:rFonts w:ascii="yandex-sans" w:hAnsi="yandex-sans"/>
          <w:color w:val="000000"/>
          <w:sz w:val="20"/>
          <w:szCs w:val="20"/>
          <w:shd w:val="clear" w:color="auto" w:fill="FFFFFF"/>
        </w:rPr>
        <w:t>03.</w:t>
      </w:r>
    </w:p>
    <w:p w:rsidR="00976A96" w:rsidRPr="00976A96" w:rsidRDefault="00976A96" w:rsidP="00976A96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proofErr w:type="spellStart"/>
      <w:r w:rsidRPr="00976A96">
        <w:rPr>
          <w:rFonts w:ascii="Times New Roman" w:hAnsi="Times New Roman" w:cs="Times New Roman"/>
          <w:i/>
          <w:sz w:val="20"/>
          <w:szCs w:val="20"/>
          <w:lang w:val="en-US" w:eastAsia="ru-RU"/>
        </w:rPr>
        <w:t>Loboda</w:t>
      </w:r>
      <w:proofErr w:type="spellEnd"/>
      <w:r w:rsidRPr="00976A96">
        <w:rPr>
          <w:rFonts w:ascii="Times New Roman" w:hAnsi="Times New Roman" w:cs="Times New Roman"/>
          <w:i/>
          <w:sz w:val="20"/>
          <w:szCs w:val="20"/>
          <w:lang w:val="en-US" w:eastAsia="ru-RU"/>
        </w:rPr>
        <w:t xml:space="preserve"> A. A. </w:t>
      </w:r>
      <w:r w:rsidRPr="00976A96">
        <w:rPr>
          <w:rFonts w:ascii="Times New Roman" w:hAnsi="Times New Roman" w:cs="Times New Roman"/>
          <w:sz w:val="20"/>
          <w:szCs w:val="20"/>
          <w:lang w:val="en-US" w:eastAsia="ru-RU"/>
        </w:rPr>
        <w:t>The Doss Method for the Stochastic Schrödinger –</w:t>
      </w:r>
      <w:proofErr w:type="spellStart"/>
      <w:r w:rsidRPr="00976A96">
        <w:rPr>
          <w:rFonts w:ascii="Times New Roman" w:hAnsi="Times New Roman" w:cs="Times New Roman"/>
          <w:sz w:val="20"/>
          <w:szCs w:val="20"/>
          <w:lang w:val="en-US" w:eastAsia="ru-RU"/>
        </w:rPr>
        <w:t>Belavkin</w:t>
      </w:r>
      <w:proofErr w:type="spellEnd"/>
      <w:r w:rsidRPr="00976A96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Equation//</w:t>
      </w:r>
      <w:r w:rsidRPr="00976A96">
        <w:rPr>
          <w:lang w:val="en-US"/>
        </w:rPr>
        <w:t xml:space="preserve"> </w:t>
      </w:r>
      <w:r w:rsidRPr="00976A96">
        <w:rPr>
          <w:rFonts w:ascii="Times New Roman" w:hAnsi="Times New Roman" w:cs="Times New Roman"/>
          <w:sz w:val="20"/>
          <w:szCs w:val="20"/>
          <w:lang w:val="en-US" w:eastAsia="ru-RU"/>
        </w:rPr>
        <w:t>Mathematical Notes. V. 106. №2. 2019. P. 311-315.</w:t>
      </w:r>
    </w:p>
    <w:p w:rsidR="00F37C8B" w:rsidRPr="009A2A68" w:rsidRDefault="00F37C8B">
      <w:pPr>
        <w:rPr>
          <w:lang w:val="en-US"/>
        </w:rPr>
      </w:pPr>
    </w:p>
    <w:sectPr w:rsidR="00F37C8B" w:rsidRPr="009A2A68" w:rsidSect="00432808">
      <w:pgSz w:w="11906" w:h="16838" w:code="9"/>
      <w:pgMar w:top="1418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415"/>
    <w:multiLevelType w:val="hybridMultilevel"/>
    <w:tmpl w:val="991E87EA"/>
    <w:lvl w:ilvl="0" w:tplc="A3022F34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2"/>
        <w:szCs w:val="22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7B"/>
    <w:rsid w:val="000C0C51"/>
    <w:rsid w:val="000F7D44"/>
    <w:rsid w:val="00220B63"/>
    <w:rsid w:val="002823D4"/>
    <w:rsid w:val="00291DAB"/>
    <w:rsid w:val="002B164C"/>
    <w:rsid w:val="00350A60"/>
    <w:rsid w:val="003C0326"/>
    <w:rsid w:val="003C3AB5"/>
    <w:rsid w:val="00403201"/>
    <w:rsid w:val="00431D57"/>
    <w:rsid w:val="00432808"/>
    <w:rsid w:val="004F2889"/>
    <w:rsid w:val="00600B4B"/>
    <w:rsid w:val="00821774"/>
    <w:rsid w:val="00976A96"/>
    <w:rsid w:val="00982473"/>
    <w:rsid w:val="009A2A68"/>
    <w:rsid w:val="009C1412"/>
    <w:rsid w:val="00B031FE"/>
    <w:rsid w:val="00D16D21"/>
    <w:rsid w:val="00D25D0C"/>
    <w:rsid w:val="00F35E45"/>
    <w:rsid w:val="00F37C8B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E554"/>
  <w15:docId w15:val="{00EDD871-01B6-4022-A53A-A4F37F9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4B"/>
    <w:pPr>
      <w:widowControl w:val="0"/>
      <w:suppressAutoHyphens/>
      <w:autoSpaceDE w:val="0"/>
      <w:ind w:left="720"/>
      <w:contextualSpacing/>
    </w:pPr>
    <w:rPr>
      <w:rFonts w:ascii="Calibri" w:hAnsi="Calibri" w:cs="Calibri"/>
      <w:lang w:eastAsia="zh-CN"/>
    </w:rPr>
  </w:style>
  <w:style w:type="paragraph" w:customStyle="1" w:styleId="10">
    <w:name w:val="Стиль10"/>
    <w:basedOn w:val="a"/>
    <w:qFormat/>
    <w:rsid w:val="00600B4B"/>
    <w:pPr>
      <w:keepNext/>
      <w:suppressAutoHyphens/>
      <w:spacing w:before="120" w:after="120"/>
      <w:jc w:val="center"/>
      <w:outlineLvl w:val="1"/>
    </w:pPr>
    <w:rPr>
      <w:rFonts w:eastAsia="Calibri"/>
      <w:b/>
      <w:sz w:val="28"/>
      <w:szCs w:val="28"/>
    </w:rPr>
  </w:style>
  <w:style w:type="paragraph" w:customStyle="1" w:styleId="11">
    <w:name w:val="Стиль11"/>
    <w:basedOn w:val="a"/>
    <w:qFormat/>
    <w:rsid w:val="00600B4B"/>
    <w:pPr>
      <w:keepNext/>
      <w:suppressAutoHyphens/>
      <w:spacing w:before="120"/>
      <w:jc w:val="center"/>
      <w:outlineLvl w:val="0"/>
    </w:pPr>
    <w:rPr>
      <w:rFonts w:eastAsia="Calibri"/>
      <w:b/>
      <w:i/>
      <w:iCs/>
    </w:rPr>
  </w:style>
  <w:style w:type="paragraph" w:customStyle="1" w:styleId="12">
    <w:name w:val="Стиль12"/>
    <w:basedOn w:val="a"/>
    <w:qFormat/>
    <w:rsid w:val="00600B4B"/>
    <w:pPr>
      <w:keepNext/>
      <w:keepLines/>
      <w:suppressAutoHyphens/>
      <w:spacing w:before="120" w:after="120"/>
      <w:jc w:val="center"/>
    </w:pPr>
    <w:rPr>
      <w:rFonts w:eastAsia="Calibri"/>
      <w:sz w:val="20"/>
      <w:szCs w:val="20"/>
    </w:rPr>
  </w:style>
  <w:style w:type="paragraph" w:customStyle="1" w:styleId="13">
    <w:name w:val="Стиль13"/>
    <w:basedOn w:val="a"/>
    <w:qFormat/>
    <w:rsid w:val="00600B4B"/>
    <w:pPr>
      <w:keepNext/>
      <w:spacing w:before="240" w:after="120"/>
      <w:jc w:val="center"/>
    </w:pPr>
    <w:rPr>
      <w:rFonts w:eastAsia="Calibri"/>
      <w:b/>
    </w:rPr>
  </w:style>
  <w:style w:type="paragraph" w:customStyle="1" w:styleId="14">
    <w:name w:val="Стиль14"/>
    <w:basedOn w:val="a"/>
    <w:qFormat/>
    <w:rsid w:val="00600B4B"/>
    <w:pPr>
      <w:keepNext/>
      <w:spacing w:before="600"/>
      <w:ind w:firstLine="709"/>
      <w:jc w:val="both"/>
    </w:pPr>
    <w:rPr>
      <w:rFonts w:eastAsia="Calibri"/>
    </w:rPr>
  </w:style>
  <w:style w:type="paragraph" w:customStyle="1" w:styleId="15">
    <w:name w:val="Стиль15"/>
    <w:basedOn w:val="a"/>
    <w:qFormat/>
    <w:rsid w:val="00600B4B"/>
    <w:pPr>
      <w:keepNext/>
      <w:spacing w:before="360"/>
      <w:jc w:val="center"/>
    </w:pPr>
    <w:rPr>
      <w:noProof/>
      <w:lang w:val="en-US"/>
    </w:rPr>
  </w:style>
  <w:style w:type="paragraph" w:customStyle="1" w:styleId="16">
    <w:name w:val="Стиль16"/>
    <w:basedOn w:val="a"/>
    <w:qFormat/>
    <w:rsid w:val="00600B4B"/>
    <w:pPr>
      <w:keepLines/>
      <w:suppressAutoHyphens/>
      <w:spacing w:before="120" w:after="240"/>
      <w:jc w:val="center"/>
    </w:pPr>
    <w:rPr>
      <w:sz w:val="22"/>
      <w:szCs w:val="22"/>
    </w:rPr>
  </w:style>
  <w:style w:type="paragraph" w:customStyle="1" w:styleId="21">
    <w:name w:val="Стиль21"/>
    <w:basedOn w:val="a4"/>
    <w:qFormat/>
    <w:rsid w:val="00600B4B"/>
    <w:pPr>
      <w:tabs>
        <w:tab w:val="center" w:pos="4253"/>
        <w:tab w:val="right" w:pos="9214"/>
      </w:tabs>
      <w:spacing w:before="60" w:after="60"/>
    </w:pPr>
    <w:rPr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00B4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0B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</cp:lastModifiedBy>
  <cp:revision>8</cp:revision>
  <dcterms:created xsi:type="dcterms:W3CDTF">2017-09-16T15:28:00Z</dcterms:created>
  <dcterms:modified xsi:type="dcterms:W3CDTF">2021-09-19T21:36:00Z</dcterms:modified>
</cp:coreProperties>
</file>