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D69" w:rsidRPr="0039202A" w:rsidRDefault="00B57D69" w:rsidP="0039202A">
      <w:pPr>
        <w:spacing w:line="240" w:lineRule="auto"/>
        <w:ind w:firstLine="0"/>
        <w:jc w:val="center"/>
        <w:rPr>
          <w:sz w:val="22"/>
          <w:lang w:val="en-US"/>
        </w:rPr>
      </w:pPr>
      <w:r w:rsidRPr="0039202A">
        <w:rPr>
          <w:sz w:val="22"/>
          <w:lang w:val="en-US"/>
        </w:rPr>
        <w:t>MAGNETIC COMPOSITE MATERIALS: SORPTION AND DETOXIFYING PROPERTIES IN RELATION TO ANTIBIOTICS</w:t>
      </w:r>
    </w:p>
    <w:p w:rsidR="003C4BB0" w:rsidRPr="0039202A" w:rsidRDefault="004C7BBD" w:rsidP="0039202A">
      <w:pPr>
        <w:spacing w:line="240" w:lineRule="auto"/>
        <w:ind w:firstLine="0"/>
        <w:jc w:val="center"/>
        <w:rPr>
          <w:strike/>
          <w:sz w:val="22"/>
          <w:lang w:val="en-US"/>
        </w:rPr>
      </w:pPr>
      <w:proofErr w:type="spellStart"/>
      <w:r w:rsidRPr="0039202A">
        <w:rPr>
          <w:sz w:val="22"/>
          <w:lang w:val="en-US"/>
        </w:rPr>
        <w:t>Dzeranov</w:t>
      </w:r>
      <w:proofErr w:type="spellEnd"/>
      <w:r w:rsidRPr="0039202A">
        <w:rPr>
          <w:sz w:val="22"/>
          <w:lang w:val="en-US"/>
        </w:rPr>
        <w:t xml:space="preserve"> A.A</w:t>
      </w:r>
      <w:r w:rsidR="003C4BB0" w:rsidRPr="0039202A">
        <w:rPr>
          <w:sz w:val="22"/>
          <w:lang w:val="en-US"/>
        </w:rPr>
        <w:t>.</w:t>
      </w:r>
      <w:r w:rsidR="0039202A" w:rsidRPr="0039202A">
        <w:rPr>
          <w:sz w:val="22"/>
          <w:vertAlign w:val="superscript"/>
          <w:lang w:val="en-US"/>
        </w:rPr>
        <w:t>1</w:t>
      </w:r>
      <w:r w:rsidR="003C4BB0" w:rsidRPr="0039202A">
        <w:rPr>
          <w:sz w:val="22"/>
          <w:lang w:val="en-US"/>
        </w:rPr>
        <w:t xml:space="preserve">, </w:t>
      </w:r>
      <w:proofErr w:type="spellStart"/>
      <w:r w:rsidRPr="0039202A">
        <w:rPr>
          <w:sz w:val="22"/>
          <w:lang w:val="en-US"/>
        </w:rPr>
        <w:t>Bondarenko</w:t>
      </w:r>
      <w:proofErr w:type="spellEnd"/>
      <w:r w:rsidRPr="0039202A">
        <w:rPr>
          <w:sz w:val="22"/>
          <w:lang w:val="en-US"/>
        </w:rPr>
        <w:t xml:space="preserve"> L.S</w:t>
      </w:r>
      <w:r w:rsidR="003C4BB0" w:rsidRPr="0039202A">
        <w:rPr>
          <w:sz w:val="22"/>
          <w:lang w:val="en-US"/>
        </w:rPr>
        <w:t>.</w:t>
      </w:r>
      <w:r w:rsidR="003C4BB0" w:rsidRPr="0039202A">
        <w:rPr>
          <w:sz w:val="22"/>
          <w:vertAlign w:val="superscript"/>
          <w:lang w:val="en-US"/>
        </w:rPr>
        <w:t>1</w:t>
      </w:r>
      <w:r w:rsidR="003C4BB0" w:rsidRPr="0039202A">
        <w:rPr>
          <w:sz w:val="22"/>
          <w:lang w:val="en-US"/>
        </w:rPr>
        <w:t xml:space="preserve">, </w:t>
      </w:r>
      <w:proofErr w:type="spellStart"/>
      <w:r w:rsidRPr="0039202A">
        <w:rPr>
          <w:sz w:val="22"/>
          <w:lang w:val="en-US"/>
        </w:rPr>
        <w:t>Dzhardimalieva</w:t>
      </w:r>
      <w:proofErr w:type="spellEnd"/>
      <w:r w:rsidRPr="0039202A">
        <w:rPr>
          <w:sz w:val="22"/>
          <w:lang w:val="en-US"/>
        </w:rPr>
        <w:t xml:space="preserve"> G.I</w:t>
      </w:r>
      <w:r w:rsidR="003C4BB0" w:rsidRPr="0039202A">
        <w:rPr>
          <w:sz w:val="22"/>
          <w:lang w:val="en-US"/>
        </w:rPr>
        <w:t>.</w:t>
      </w:r>
      <w:r w:rsidR="003C4BB0" w:rsidRPr="0039202A">
        <w:rPr>
          <w:sz w:val="22"/>
          <w:vertAlign w:val="superscript"/>
          <w:lang w:val="en-US"/>
        </w:rPr>
        <w:t>1</w:t>
      </w:r>
      <w:proofErr w:type="gramStart"/>
      <w:r w:rsidR="003C4BB0" w:rsidRPr="0039202A">
        <w:rPr>
          <w:sz w:val="22"/>
          <w:vertAlign w:val="superscript"/>
          <w:lang w:val="en-US"/>
        </w:rPr>
        <w:t>,2</w:t>
      </w:r>
      <w:proofErr w:type="gramEnd"/>
      <w:r w:rsidR="003C4BB0" w:rsidRPr="0039202A">
        <w:rPr>
          <w:sz w:val="22"/>
          <w:lang w:val="en-US"/>
        </w:rPr>
        <w:t xml:space="preserve">, </w:t>
      </w:r>
      <w:proofErr w:type="spellStart"/>
      <w:r w:rsidRPr="0039202A">
        <w:rPr>
          <w:sz w:val="22"/>
          <w:lang w:val="en-US"/>
        </w:rPr>
        <w:t>Patsaeva</w:t>
      </w:r>
      <w:proofErr w:type="spellEnd"/>
      <w:r w:rsidRPr="0039202A">
        <w:rPr>
          <w:sz w:val="22"/>
          <w:lang w:val="en-US"/>
        </w:rPr>
        <w:t xml:space="preserve"> S.V.</w:t>
      </w:r>
      <w:r w:rsidR="003C4BB0" w:rsidRPr="0039202A">
        <w:rPr>
          <w:sz w:val="22"/>
          <w:vertAlign w:val="superscript"/>
          <w:lang w:val="en-US"/>
        </w:rPr>
        <w:t>3</w:t>
      </w:r>
      <w:r w:rsidR="003C4BB0" w:rsidRPr="0039202A">
        <w:rPr>
          <w:sz w:val="22"/>
          <w:lang w:val="en-US"/>
        </w:rPr>
        <w:t xml:space="preserve">, </w:t>
      </w:r>
      <w:proofErr w:type="spellStart"/>
      <w:r w:rsidRPr="0039202A">
        <w:rPr>
          <w:sz w:val="22"/>
          <w:lang w:val="en-US"/>
        </w:rPr>
        <w:t>Kydralieva</w:t>
      </w:r>
      <w:proofErr w:type="spellEnd"/>
      <w:r w:rsidRPr="0039202A">
        <w:rPr>
          <w:sz w:val="22"/>
          <w:lang w:val="en-US"/>
        </w:rPr>
        <w:t xml:space="preserve"> K.A.</w:t>
      </w:r>
      <w:r w:rsidR="003C4BB0" w:rsidRPr="0039202A">
        <w:rPr>
          <w:sz w:val="22"/>
          <w:vertAlign w:val="superscript"/>
          <w:lang w:val="en-US"/>
        </w:rPr>
        <w:t>1</w:t>
      </w:r>
    </w:p>
    <w:p w:rsidR="003C4BB0" w:rsidRPr="0039202A" w:rsidRDefault="003C4BB0" w:rsidP="0039202A">
      <w:pPr>
        <w:spacing w:line="240" w:lineRule="auto"/>
        <w:ind w:firstLine="0"/>
        <w:jc w:val="center"/>
        <w:rPr>
          <w:sz w:val="22"/>
          <w:lang w:val="en-US"/>
        </w:rPr>
      </w:pPr>
      <w:r w:rsidRPr="0039202A">
        <w:rPr>
          <w:sz w:val="22"/>
          <w:vertAlign w:val="superscript"/>
          <w:lang w:val="en-US"/>
        </w:rPr>
        <w:t>1</w:t>
      </w:r>
      <w:r w:rsidRPr="0039202A">
        <w:rPr>
          <w:sz w:val="22"/>
          <w:lang w:val="en-US"/>
        </w:rPr>
        <w:t xml:space="preserve"> </w:t>
      </w:r>
      <w:r w:rsidR="004C7BBD" w:rsidRPr="0039202A">
        <w:rPr>
          <w:sz w:val="22"/>
          <w:lang w:val="en-US"/>
        </w:rPr>
        <w:t>Moscow Aviation Institute (National Research University), Moscow</w:t>
      </w:r>
    </w:p>
    <w:p w:rsidR="004C7BBD" w:rsidRPr="0039202A" w:rsidRDefault="003C4BB0" w:rsidP="0039202A">
      <w:pPr>
        <w:spacing w:line="240" w:lineRule="auto"/>
        <w:ind w:firstLine="0"/>
        <w:jc w:val="center"/>
        <w:rPr>
          <w:sz w:val="22"/>
          <w:vertAlign w:val="superscript"/>
          <w:lang w:val="en-US"/>
        </w:rPr>
      </w:pPr>
      <w:r w:rsidRPr="0039202A">
        <w:rPr>
          <w:sz w:val="22"/>
          <w:vertAlign w:val="superscript"/>
          <w:lang w:val="en-US"/>
        </w:rPr>
        <w:t>2</w:t>
      </w:r>
      <w:r w:rsidR="004C7BBD" w:rsidRPr="0039202A">
        <w:rPr>
          <w:sz w:val="22"/>
          <w:lang w:val="en-US"/>
        </w:rPr>
        <w:t xml:space="preserve"> Institute of Problems of Chemical Physics, </w:t>
      </w:r>
      <w:proofErr w:type="spellStart"/>
      <w:r w:rsidR="004C7BBD" w:rsidRPr="0039202A">
        <w:rPr>
          <w:sz w:val="22"/>
          <w:lang w:val="en-US"/>
        </w:rPr>
        <w:t>Chernogolovka</w:t>
      </w:r>
      <w:proofErr w:type="spellEnd"/>
      <w:r w:rsidR="004C7BBD" w:rsidRPr="0039202A">
        <w:rPr>
          <w:sz w:val="22"/>
          <w:lang w:val="en-US"/>
        </w:rPr>
        <w:t xml:space="preserve">, </w:t>
      </w:r>
      <w:proofErr w:type="gramStart"/>
      <w:r w:rsidR="004C7BBD" w:rsidRPr="0039202A">
        <w:rPr>
          <w:sz w:val="22"/>
          <w:lang w:val="en-US"/>
        </w:rPr>
        <w:t>Moscow</w:t>
      </w:r>
      <w:proofErr w:type="gramEnd"/>
      <w:r w:rsidR="004C7BBD" w:rsidRPr="0039202A">
        <w:rPr>
          <w:sz w:val="22"/>
          <w:lang w:val="en-US"/>
        </w:rPr>
        <w:t xml:space="preserve"> region</w:t>
      </w:r>
      <w:r w:rsidR="004C7BBD" w:rsidRPr="0039202A">
        <w:rPr>
          <w:sz w:val="22"/>
          <w:vertAlign w:val="superscript"/>
          <w:lang w:val="en-US"/>
        </w:rPr>
        <w:t xml:space="preserve"> </w:t>
      </w:r>
    </w:p>
    <w:p w:rsidR="00B42066" w:rsidRPr="0039202A" w:rsidRDefault="003C4BB0" w:rsidP="0039202A">
      <w:pPr>
        <w:spacing w:line="240" w:lineRule="auto"/>
        <w:ind w:firstLine="0"/>
        <w:jc w:val="center"/>
        <w:rPr>
          <w:sz w:val="22"/>
          <w:lang w:val="en-US"/>
        </w:rPr>
      </w:pPr>
      <w:r w:rsidRPr="0039202A">
        <w:rPr>
          <w:sz w:val="22"/>
          <w:vertAlign w:val="superscript"/>
          <w:lang w:val="en-US"/>
        </w:rPr>
        <w:t>3</w:t>
      </w:r>
      <w:r w:rsidR="000D76EE" w:rsidRPr="000D76EE">
        <w:rPr>
          <w:sz w:val="22"/>
          <w:vertAlign w:val="superscript"/>
          <w:lang w:val="en-US"/>
        </w:rPr>
        <w:t xml:space="preserve"> </w:t>
      </w:r>
      <w:proofErr w:type="spellStart"/>
      <w:r w:rsidR="00B42066" w:rsidRPr="0039202A">
        <w:rPr>
          <w:sz w:val="22"/>
          <w:lang w:val="en-US"/>
        </w:rPr>
        <w:t>Lomonosov</w:t>
      </w:r>
      <w:proofErr w:type="spellEnd"/>
      <w:r w:rsidR="00B42066" w:rsidRPr="0039202A">
        <w:rPr>
          <w:sz w:val="22"/>
          <w:lang w:val="en-US"/>
        </w:rPr>
        <w:t xml:space="preserve"> Moscow State University, Moscow </w:t>
      </w:r>
    </w:p>
    <w:p w:rsidR="0039202A" w:rsidRPr="0039202A" w:rsidRDefault="0039202A" w:rsidP="0039202A">
      <w:pPr>
        <w:spacing w:line="240" w:lineRule="auto"/>
        <w:ind w:firstLine="0"/>
        <w:jc w:val="center"/>
        <w:rPr>
          <w:sz w:val="22"/>
          <w:lang w:val="en-US"/>
        </w:rPr>
      </w:pPr>
      <w:r w:rsidRPr="0039202A">
        <w:rPr>
          <w:sz w:val="22"/>
          <w:lang w:val="en-US"/>
        </w:rPr>
        <w:t>E-ma</w:t>
      </w:r>
      <w:bookmarkStart w:id="0" w:name="_GoBack"/>
      <w:bookmarkEnd w:id="0"/>
      <w:r w:rsidRPr="0039202A">
        <w:rPr>
          <w:sz w:val="22"/>
          <w:lang w:val="en-US"/>
        </w:rPr>
        <w:t>il contact:</w:t>
      </w:r>
      <w:r w:rsidRPr="0039202A">
        <w:rPr>
          <w:sz w:val="22"/>
          <w:vertAlign w:val="superscript"/>
          <w:lang w:val="en-US"/>
        </w:rPr>
        <w:t xml:space="preserve">  </w:t>
      </w:r>
      <w:r w:rsidRPr="0039202A">
        <w:rPr>
          <w:rFonts w:eastAsia="Times New Roman"/>
          <w:sz w:val="22"/>
          <w:lang w:val="en-US"/>
        </w:rPr>
        <w:t>arturdzeranov99@mail.ru</w:t>
      </w:r>
    </w:p>
    <w:p w:rsidR="003C4BB0" w:rsidRPr="0039202A" w:rsidRDefault="003C4BB0" w:rsidP="0039202A">
      <w:pPr>
        <w:spacing w:line="240" w:lineRule="auto"/>
        <w:jc w:val="center"/>
        <w:rPr>
          <w:sz w:val="22"/>
          <w:lang w:val="en-US"/>
        </w:rPr>
      </w:pPr>
    </w:p>
    <w:p w:rsidR="003C4BB0" w:rsidRPr="0039202A" w:rsidRDefault="00D43888" w:rsidP="0039202A">
      <w:pPr>
        <w:spacing w:line="240" w:lineRule="auto"/>
        <w:rPr>
          <w:rFonts w:eastAsia="Times New Roman"/>
          <w:sz w:val="22"/>
          <w:lang w:val="en-US" w:eastAsia="ru-RU"/>
        </w:rPr>
      </w:pPr>
      <w:r w:rsidRPr="0039202A">
        <w:rPr>
          <w:sz w:val="22"/>
          <w:lang w:val="en-US"/>
        </w:rPr>
        <w:t>Fluoroquinolones are synthetic broad-spectrum antimicrobial compounds used in medicine and veterinary medicine [1]. Fluoroquinolones are not destroyed in the body and, as a result, enter the environment in large quantities from wastewater from sewage treatment plants, medical facilities, factories, waste from the production of pharmaceuticals, etc. The present study is devoted to the development of nanocomposite sorbents based on nanoparticles (NPs) of magnetite (Fe</w:t>
      </w:r>
      <w:r w:rsidRPr="0039202A">
        <w:rPr>
          <w:sz w:val="22"/>
          <w:vertAlign w:val="subscript"/>
          <w:lang w:val="en-US"/>
        </w:rPr>
        <w:t>3</w:t>
      </w:r>
      <w:r w:rsidRPr="0039202A">
        <w:rPr>
          <w:sz w:val="22"/>
          <w:lang w:val="en-US"/>
        </w:rPr>
        <w:t>O</w:t>
      </w:r>
      <w:r w:rsidRPr="0039202A">
        <w:rPr>
          <w:sz w:val="22"/>
          <w:vertAlign w:val="subscript"/>
          <w:lang w:val="en-US"/>
        </w:rPr>
        <w:t>4</w:t>
      </w:r>
      <w:r w:rsidRPr="0039202A">
        <w:rPr>
          <w:sz w:val="22"/>
          <w:lang w:val="en-US"/>
        </w:rPr>
        <w:t xml:space="preserve">) modified with </w:t>
      </w:r>
      <w:proofErr w:type="spellStart"/>
      <w:r w:rsidRPr="0039202A">
        <w:rPr>
          <w:sz w:val="22"/>
          <w:lang w:val="en-US"/>
        </w:rPr>
        <w:t>aminoorganosilanes</w:t>
      </w:r>
      <w:proofErr w:type="spellEnd"/>
      <w:r w:rsidRPr="0039202A">
        <w:rPr>
          <w:sz w:val="22"/>
          <w:lang w:val="en-US"/>
        </w:rPr>
        <w:t xml:space="preserve"> (</w:t>
      </w:r>
      <w:proofErr w:type="spellStart"/>
      <w:r w:rsidRPr="0039202A">
        <w:rPr>
          <w:sz w:val="22"/>
          <w:lang w:val="en-US"/>
        </w:rPr>
        <w:t>tetraethoxysilane</w:t>
      </w:r>
      <w:proofErr w:type="spellEnd"/>
      <w:r w:rsidRPr="0039202A">
        <w:rPr>
          <w:sz w:val="22"/>
          <w:lang w:val="en-US"/>
        </w:rPr>
        <w:t xml:space="preserve">, TEOS and 3-aminopropyltriethoxysilane, APTES), and the study of their microstructure and detoxifying properties with respect to ciprofloxacin (CIP) in the presence of dissolved organic matter. </w:t>
      </w:r>
      <w:r w:rsidRPr="0039202A">
        <w:rPr>
          <w:rFonts w:eastAsia="Times New Roman"/>
          <w:sz w:val="22"/>
          <w:lang w:val="en-US" w:eastAsia="ru-RU"/>
        </w:rPr>
        <w:t>The Fe</w:t>
      </w:r>
      <w:r w:rsidRPr="0039202A">
        <w:rPr>
          <w:rFonts w:eastAsia="Times New Roman"/>
          <w:sz w:val="22"/>
          <w:vertAlign w:val="subscript"/>
          <w:lang w:val="en-US" w:eastAsia="ru-RU"/>
        </w:rPr>
        <w:t>3</w:t>
      </w:r>
      <w:r w:rsidRPr="0039202A">
        <w:rPr>
          <w:rFonts w:eastAsia="Times New Roman"/>
          <w:sz w:val="22"/>
          <w:lang w:val="en-US" w:eastAsia="ru-RU"/>
        </w:rPr>
        <w:t>O</w:t>
      </w:r>
      <w:r w:rsidRPr="0039202A">
        <w:rPr>
          <w:rFonts w:eastAsia="Times New Roman"/>
          <w:sz w:val="22"/>
          <w:vertAlign w:val="subscript"/>
          <w:lang w:val="en-US" w:eastAsia="ru-RU"/>
        </w:rPr>
        <w:t>4</w:t>
      </w:r>
      <w:r w:rsidRPr="0039202A">
        <w:rPr>
          <w:rFonts w:eastAsia="Times New Roman"/>
          <w:sz w:val="22"/>
          <w:lang w:val="en-US" w:eastAsia="ru-RU"/>
        </w:rPr>
        <w:t xml:space="preserve"> nanoparticles as a core and </w:t>
      </w:r>
      <w:proofErr w:type="spellStart"/>
      <w:r w:rsidRPr="0039202A">
        <w:rPr>
          <w:rFonts w:eastAsia="Times New Roman"/>
          <w:sz w:val="22"/>
          <w:lang w:val="en-US" w:eastAsia="ru-RU"/>
        </w:rPr>
        <w:t>organosilanes</w:t>
      </w:r>
      <w:proofErr w:type="spellEnd"/>
      <w:r w:rsidRPr="0039202A">
        <w:rPr>
          <w:rFonts w:eastAsia="Times New Roman"/>
          <w:sz w:val="22"/>
          <w:lang w:val="en-US" w:eastAsia="ru-RU"/>
        </w:rPr>
        <w:t xml:space="preserve"> as a protective and functional shell were chosen thanks to synthesis simplicity and high magnetic characteristics compared to other iron oxides and the formation of covalent bonds on the Fe</w:t>
      </w:r>
      <w:r w:rsidRPr="0039202A">
        <w:rPr>
          <w:rFonts w:eastAsia="Times New Roman"/>
          <w:sz w:val="22"/>
          <w:vertAlign w:val="subscript"/>
          <w:lang w:val="en-US" w:eastAsia="ru-RU"/>
        </w:rPr>
        <w:t>3</w:t>
      </w:r>
      <w:r w:rsidRPr="0039202A">
        <w:rPr>
          <w:rFonts w:eastAsia="Times New Roman"/>
          <w:sz w:val="22"/>
          <w:lang w:val="en-US" w:eastAsia="ru-RU"/>
        </w:rPr>
        <w:t>O</w:t>
      </w:r>
      <w:r w:rsidRPr="0039202A">
        <w:rPr>
          <w:rFonts w:eastAsia="Times New Roman"/>
          <w:sz w:val="22"/>
          <w:vertAlign w:val="subscript"/>
          <w:lang w:val="en-US" w:eastAsia="ru-RU"/>
        </w:rPr>
        <w:t>4</w:t>
      </w:r>
      <w:r w:rsidRPr="0039202A">
        <w:rPr>
          <w:rFonts w:eastAsia="Times New Roman"/>
          <w:sz w:val="22"/>
          <w:lang w:val="en-US" w:eastAsia="ru-RU"/>
        </w:rPr>
        <w:t xml:space="preserve"> surface respectively [2]. </w:t>
      </w:r>
      <w:proofErr w:type="spellStart"/>
      <w:r w:rsidRPr="0039202A">
        <w:rPr>
          <w:rFonts w:eastAsia="Times New Roman"/>
          <w:sz w:val="22"/>
          <w:lang w:val="en-US" w:eastAsia="ru-RU"/>
        </w:rPr>
        <w:t>Humic</w:t>
      </w:r>
      <w:proofErr w:type="spellEnd"/>
      <w:r w:rsidRPr="0039202A">
        <w:rPr>
          <w:rFonts w:eastAsia="Times New Roman"/>
          <w:sz w:val="22"/>
          <w:lang w:val="en-US" w:eastAsia="ru-RU"/>
        </w:rPr>
        <w:t xml:space="preserve"> acids (HA) were chosen as a model of dissolved organic matter.</w:t>
      </w:r>
    </w:p>
    <w:p w:rsidR="00D43888" w:rsidRPr="0039202A" w:rsidRDefault="00D43888" w:rsidP="0039202A">
      <w:pPr>
        <w:spacing w:line="240" w:lineRule="auto"/>
        <w:rPr>
          <w:sz w:val="22"/>
          <w:lang w:val="en-US"/>
        </w:rPr>
      </w:pPr>
      <w:r w:rsidRPr="0039202A">
        <w:rPr>
          <w:sz w:val="22"/>
          <w:lang w:val="en-US"/>
        </w:rPr>
        <w:t>The study of the microstructure and phase state of Fe</w:t>
      </w:r>
      <w:r w:rsidRPr="0039202A">
        <w:rPr>
          <w:sz w:val="22"/>
          <w:vertAlign w:val="subscript"/>
          <w:lang w:val="en-US"/>
        </w:rPr>
        <w:t>3</w:t>
      </w:r>
      <w:r w:rsidRPr="0039202A">
        <w:rPr>
          <w:sz w:val="22"/>
          <w:lang w:val="en-US"/>
        </w:rPr>
        <w:t>O</w:t>
      </w:r>
      <w:r w:rsidRPr="0039202A">
        <w:rPr>
          <w:sz w:val="22"/>
          <w:vertAlign w:val="subscript"/>
          <w:lang w:val="en-US"/>
        </w:rPr>
        <w:t>4</w:t>
      </w:r>
      <w:r w:rsidRPr="0039202A">
        <w:rPr>
          <w:sz w:val="22"/>
          <w:lang w:val="en-US"/>
        </w:rPr>
        <w:t xml:space="preserve">/TEOS/APTES nanoparticles by X-ray phase analysis showed that the average sizes of nanoparticles calculated by the </w:t>
      </w:r>
      <w:proofErr w:type="spellStart"/>
      <w:r w:rsidRPr="0039202A">
        <w:rPr>
          <w:sz w:val="22"/>
          <w:lang w:val="en-US"/>
        </w:rPr>
        <w:t>Scherrer</w:t>
      </w:r>
      <w:proofErr w:type="spellEnd"/>
      <w:r w:rsidRPr="0039202A">
        <w:rPr>
          <w:sz w:val="22"/>
          <w:lang w:val="en-US"/>
        </w:rPr>
        <w:t xml:space="preserve"> equation are 16, 10, and 9 nm for bare magnetite, Fe</w:t>
      </w:r>
      <w:r w:rsidRPr="0039202A">
        <w:rPr>
          <w:sz w:val="22"/>
          <w:vertAlign w:val="subscript"/>
          <w:lang w:val="en-US"/>
        </w:rPr>
        <w:t>3</w:t>
      </w:r>
      <w:r w:rsidRPr="0039202A">
        <w:rPr>
          <w:sz w:val="22"/>
          <w:lang w:val="en-US"/>
        </w:rPr>
        <w:t>O</w:t>
      </w:r>
      <w:r w:rsidRPr="0039202A">
        <w:rPr>
          <w:sz w:val="22"/>
          <w:vertAlign w:val="subscript"/>
          <w:lang w:val="en-US"/>
        </w:rPr>
        <w:t>4</w:t>
      </w:r>
      <w:r w:rsidRPr="0039202A">
        <w:rPr>
          <w:sz w:val="22"/>
          <w:lang w:val="en-US"/>
        </w:rPr>
        <w:t>/TEOS, and Fe</w:t>
      </w:r>
      <w:r w:rsidRPr="0039202A">
        <w:rPr>
          <w:sz w:val="22"/>
          <w:vertAlign w:val="subscript"/>
          <w:lang w:val="en-US"/>
        </w:rPr>
        <w:t>3</w:t>
      </w:r>
      <w:r w:rsidRPr="0039202A">
        <w:rPr>
          <w:sz w:val="22"/>
          <w:lang w:val="en-US"/>
        </w:rPr>
        <w:t>O</w:t>
      </w:r>
      <w:r w:rsidRPr="0039202A">
        <w:rPr>
          <w:sz w:val="22"/>
          <w:vertAlign w:val="subscript"/>
          <w:lang w:val="en-US"/>
        </w:rPr>
        <w:t>4</w:t>
      </w:r>
      <w:r w:rsidRPr="0039202A">
        <w:rPr>
          <w:sz w:val="22"/>
          <w:lang w:val="en-US"/>
        </w:rPr>
        <w:t>/TEOS/APTES NPs, respectively. The functionalization of TEOS and APTES of magnetite nanoparticles leads to a decrease in the content of stoichiometric Fe</w:t>
      </w:r>
      <w:r w:rsidRPr="0039202A">
        <w:rPr>
          <w:sz w:val="22"/>
          <w:vertAlign w:val="subscript"/>
          <w:lang w:val="en-US"/>
        </w:rPr>
        <w:t>3</w:t>
      </w:r>
      <w:r w:rsidRPr="0039202A">
        <w:rPr>
          <w:sz w:val="22"/>
          <w:lang w:val="en-US"/>
        </w:rPr>
        <w:t>O</w:t>
      </w:r>
      <w:r w:rsidRPr="0039202A">
        <w:rPr>
          <w:sz w:val="22"/>
          <w:vertAlign w:val="subscript"/>
          <w:lang w:val="en-US"/>
        </w:rPr>
        <w:t>4</w:t>
      </w:r>
      <w:r w:rsidRPr="0039202A">
        <w:rPr>
          <w:sz w:val="22"/>
          <w:lang w:val="en-US"/>
        </w:rPr>
        <w:t xml:space="preserve"> from 78.8% for the </w:t>
      </w:r>
      <w:r w:rsidR="00E84D90" w:rsidRPr="0039202A">
        <w:rPr>
          <w:sz w:val="22"/>
          <w:lang w:val="en-US"/>
        </w:rPr>
        <w:t xml:space="preserve">initial one to </w:t>
      </w:r>
      <w:r w:rsidRPr="0039202A">
        <w:rPr>
          <w:sz w:val="22"/>
          <w:lang w:val="en-US"/>
        </w:rPr>
        <w:t xml:space="preserve">67.3 and 42.4%, respectively. The modification of TEOS and APTES leads to an increase in the specific surface area from 64 </w:t>
      </w:r>
      <w:proofErr w:type="gramStart"/>
      <w:r w:rsidRPr="0039202A">
        <w:rPr>
          <w:sz w:val="22"/>
          <w:lang w:val="en-US"/>
        </w:rPr>
        <w:t>to 119 m</w:t>
      </w:r>
      <w:r w:rsidRPr="0039202A">
        <w:rPr>
          <w:sz w:val="22"/>
          <w:vertAlign w:val="superscript"/>
          <w:lang w:val="en-US"/>
        </w:rPr>
        <w:t>2</w:t>
      </w:r>
      <w:r w:rsidRPr="0039202A">
        <w:rPr>
          <w:sz w:val="22"/>
          <w:lang w:val="en-US"/>
        </w:rPr>
        <w:t>/g according to the data of the low-temperature nitrogen adsorption method (77 K)</w:t>
      </w:r>
      <w:proofErr w:type="gramEnd"/>
      <w:r w:rsidRPr="0039202A">
        <w:rPr>
          <w:sz w:val="22"/>
          <w:lang w:val="en-US"/>
        </w:rPr>
        <w:t xml:space="preserve">. When studying the mechanism of stabilization of NPs by </w:t>
      </w:r>
      <w:proofErr w:type="spellStart"/>
      <w:r w:rsidRPr="0039202A">
        <w:rPr>
          <w:sz w:val="22"/>
          <w:lang w:val="en-US"/>
        </w:rPr>
        <w:t>alkoxysilanes</w:t>
      </w:r>
      <w:proofErr w:type="spellEnd"/>
      <w:r w:rsidRPr="0039202A">
        <w:rPr>
          <w:sz w:val="22"/>
          <w:lang w:val="en-US"/>
        </w:rPr>
        <w:t xml:space="preserve"> by infrared spectroscopy, the presence of absorption bands for the following bonds was revealed: Fe-O-Si bonds (692, 583 </w:t>
      </w:r>
      <w:r w:rsidR="00E84D90" w:rsidRPr="0039202A">
        <w:rPr>
          <w:sz w:val="22"/>
          <w:lang w:val="en-US"/>
        </w:rPr>
        <w:t>cm</w:t>
      </w:r>
      <w:r w:rsidR="00E84D90" w:rsidRPr="0039202A">
        <w:rPr>
          <w:sz w:val="22"/>
          <w:vertAlign w:val="superscript"/>
          <w:lang w:val="en-US"/>
        </w:rPr>
        <w:t>-</w:t>
      </w:r>
      <w:r w:rsidR="002D191B" w:rsidRPr="0039202A">
        <w:rPr>
          <w:sz w:val="22"/>
          <w:vertAlign w:val="superscript"/>
          <w:lang w:val="en-US"/>
        </w:rPr>
        <w:t>1</w:t>
      </w:r>
      <w:r w:rsidR="002D191B" w:rsidRPr="0039202A">
        <w:rPr>
          <w:sz w:val="22"/>
          <w:lang w:val="en-US"/>
        </w:rPr>
        <w:t>)</w:t>
      </w:r>
      <w:r w:rsidRPr="0039202A">
        <w:rPr>
          <w:sz w:val="22"/>
          <w:lang w:val="en-US"/>
        </w:rPr>
        <w:t xml:space="preserve"> [3</w:t>
      </w:r>
      <w:r w:rsidR="00E84D90" w:rsidRPr="0039202A">
        <w:rPr>
          <w:sz w:val="22"/>
          <w:lang w:val="en-US"/>
        </w:rPr>
        <w:t>]</w:t>
      </w:r>
      <w:r w:rsidR="002D191B" w:rsidRPr="0039202A">
        <w:rPr>
          <w:sz w:val="22"/>
          <w:lang w:val="en-US"/>
        </w:rPr>
        <w:t>, indicating the appearance of bonds between the surface of TEOS and Fe</w:t>
      </w:r>
      <w:r w:rsidR="002D191B" w:rsidRPr="0039202A">
        <w:rPr>
          <w:sz w:val="22"/>
          <w:vertAlign w:val="subscript"/>
          <w:lang w:val="en-US"/>
        </w:rPr>
        <w:t>3</w:t>
      </w:r>
      <w:r w:rsidR="002D191B" w:rsidRPr="0039202A">
        <w:rPr>
          <w:sz w:val="22"/>
          <w:lang w:val="en-US"/>
        </w:rPr>
        <w:t>O</w:t>
      </w:r>
      <w:r w:rsidR="002D191B" w:rsidRPr="0039202A">
        <w:rPr>
          <w:sz w:val="22"/>
          <w:vertAlign w:val="subscript"/>
          <w:lang w:val="en-US"/>
        </w:rPr>
        <w:t>4</w:t>
      </w:r>
      <w:r w:rsidR="002D191B" w:rsidRPr="0039202A">
        <w:rPr>
          <w:sz w:val="22"/>
          <w:lang w:val="en-US"/>
        </w:rPr>
        <w:t xml:space="preserve"> ,</w:t>
      </w:r>
      <w:r w:rsidR="00E84D90" w:rsidRPr="0039202A">
        <w:rPr>
          <w:sz w:val="22"/>
          <w:lang w:val="en-US"/>
        </w:rPr>
        <w:t xml:space="preserve"> Si-O-Si bonds (1056 cm-1) [3], indicating incomplete p</w:t>
      </w:r>
      <w:r w:rsidR="002D191B" w:rsidRPr="0039202A">
        <w:rPr>
          <w:sz w:val="22"/>
          <w:lang w:val="en-US"/>
        </w:rPr>
        <w:t>olymerization of TEOS and APTES</w:t>
      </w:r>
      <w:r w:rsidRPr="0039202A">
        <w:rPr>
          <w:sz w:val="22"/>
          <w:lang w:val="en-US"/>
        </w:rPr>
        <w:t>, NH</w:t>
      </w:r>
      <w:r w:rsidRPr="0039202A">
        <w:rPr>
          <w:sz w:val="22"/>
          <w:vertAlign w:val="subscript"/>
          <w:lang w:val="en-US"/>
        </w:rPr>
        <w:t>2</w:t>
      </w:r>
      <w:r w:rsidRPr="0039202A">
        <w:rPr>
          <w:sz w:val="22"/>
          <w:lang w:val="en-US"/>
        </w:rPr>
        <w:t>- (790, 1633, 3424 cm</w:t>
      </w:r>
      <w:r w:rsidRPr="0039202A">
        <w:rPr>
          <w:sz w:val="22"/>
          <w:vertAlign w:val="superscript"/>
          <w:lang w:val="en-US"/>
        </w:rPr>
        <w:t>-1</w:t>
      </w:r>
      <w:r w:rsidRPr="0039202A">
        <w:rPr>
          <w:sz w:val="22"/>
          <w:lang w:val="en-US"/>
        </w:rPr>
        <w:t xml:space="preserve">) [4] or OH groups (1633, 3424 </w:t>
      </w:r>
      <w:r w:rsidR="00E84D90" w:rsidRPr="0039202A">
        <w:rPr>
          <w:sz w:val="22"/>
          <w:lang w:val="en-US"/>
        </w:rPr>
        <w:t>cm</w:t>
      </w:r>
      <w:r w:rsidR="00E84D90" w:rsidRPr="0039202A">
        <w:rPr>
          <w:sz w:val="22"/>
          <w:vertAlign w:val="superscript"/>
          <w:lang w:val="en-US"/>
        </w:rPr>
        <w:t>-1</w:t>
      </w:r>
      <w:r w:rsidRPr="0039202A">
        <w:rPr>
          <w:sz w:val="22"/>
          <w:lang w:val="en-US"/>
        </w:rPr>
        <w:t xml:space="preserve">) [3] , which are almost completely located inside the silicon framework. According to UV and visible spectrophotometry data, the concentration of </w:t>
      </w:r>
      <w:proofErr w:type="spellStart"/>
      <w:r w:rsidRPr="0039202A">
        <w:rPr>
          <w:sz w:val="22"/>
          <w:lang w:val="en-US"/>
        </w:rPr>
        <w:t>sorbed</w:t>
      </w:r>
      <w:proofErr w:type="spellEnd"/>
      <w:r w:rsidRPr="0039202A">
        <w:rPr>
          <w:sz w:val="22"/>
          <w:lang w:val="en-US"/>
        </w:rPr>
        <w:t xml:space="preserve"> CIP decreases from 49 to 8% at pH from 6 to 8, respectively. </w:t>
      </w:r>
      <w:r w:rsidR="005076D8" w:rsidRPr="0039202A">
        <w:rPr>
          <w:sz w:val="22"/>
          <w:lang w:val="en-US"/>
        </w:rPr>
        <w:t xml:space="preserve">The addition of HA leads to an increase in the amount of </w:t>
      </w:r>
      <w:proofErr w:type="spellStart"/>
      <w:r w:rsidR="005076D8" w:rsidRPr="0039202A">
        <w:rPr>
          <w:sz w:val="22"/>
          <w:lang w:val="en-US"/>
        </w:rPr>
        <w:t>sorbed</w:t>
      </w:r>
      <w:proofErr w:type="spellEnd"/>
      <w:r w:rsidR="005076D8" w:rsidRPr="0039202A">
        <w:rPr>
          <w:sz w:val="22"/>
          <w:lang w:val="en-US"/>
        </w:rPr>
        <w:t xml:space="preserve"> CIP from 18 to 64 % due to the contribution of the HA functional groups.</w:t>
      </w:r>
    </w:p>
    <w:p w:rsidR="005076D8" w:rsidRPr="0039202A" w:rsidRDefault="005076D8" w:rsidP="0039202A">
      <w:pPr>
        <w:spacing w:line="240" w:lineRule="auto"/>
        <w:rPr>
          <w:sz w:val="22"/>
          <w:lang w:val="en-US"/>
        </w:rPr>
      </w:pPr>
      <w:r w:rsidRPr="0039202A">
        <w:rPr>
          <w:sz w:val="22"/>
          <w:lang w:val="en-US"/>
        </w:rPr>
        <w:t xml:space="preserve">The assessment of the detoxifying ability of the MTA nanoparticles towards ciprofloxacin showed an increase in the survival rate of </w:t>
      </w:r>
      <w:r w:rsidRPr="0039202A">
        <w:rPr>
          <w:i/>
          <w:sz w:val="22"/>
          <w:lang w:val="en-US"/>
        </w:rPr>
        <w:t xml:space="preserve">Paramecium </w:t>
      </w:r>
      <w:proofErr w:type="spellStart"/>
      <w:r w:rsidRPr="0039202A">
        <w:rPr>
          <w:i/>
          <w:sz w:val="22"/>
          <w:lang w:val="en-US"/>
        </w:rPr>
        <w:t>caudatum</w:t>
      </w:r>
      <w:proofErr w:type="spellEnd"/>
      <w:r w:rsidRPr="0039202A">
        <w:rPr>
          <w:i/>
          <w:sz w:val="22"/>
          <w:lang w:val="en-US"/>
        </w:rPr>
        <w:t xml:space="preserve"> </w:t>
      </w:r>
      <w:r w:rsidRPr="0039202A">
        <w:rPr>
          <w:sz w:val="22"/>
          <w:lang w:val="en-US"/>
        </w:rPr>
        <w:t xml:space="preserve">ciliates, which correlates with sorption experiments. At the same time, the presence of the </w:t>
      </w:r>
      <w:proofErr w:type="spellStart"/>
      <w:r w:rsidRPr="0039202A">
        <w:rPr>
          <w:sz w:val="22"/>
          <w:lang w:val="en-US"/>
        </w:rPr>
        <w:t>humic</w:t>
      </w:r>
      <w:proofErr w:type="spellEnd"/>
      <w:r w:rsidRPr="0039202A">
        <w:rPr>
          <w:sz w:val="22"/>
          <w:lang w:val="en-US"/>
        </w:rPr>
        <w:t xml:space="preserve"> acids does not significantly increase the inhibition of </w:t>
      </w:r>
      <w:r w:rsidRPr="0039202A">
        <w:rPr>
          <w:i/>
          <w:sz w:val="22"/>
          <w:lang w:val="en-US"/>
        </w:rPr>
        <w:t xml:space="preserve">P. </w:t>
      </w:r>
      <w:proofErr w:type="spellStart"/>
      <w:r w:rsidRPr="0039202A">
        <w:rPr>
          <w:i/>
          <w:sz w:val="22"/>
          <w:lang w:val="en-US"/>
        </w:rPr>
        <w:t>caudatum</w:t>
      </w:r>
      <w:proofErr w:type="spellEnd"/>
      <w:r w:rsidRPr="0039202A">
        <w:rPr>
          <w:sz w:val="22"/>
          <w:lang w:val="en-US"/>
        </w:rPr>
        <w:t xml:space="preserve"> due to formation of intermolecular complexes of nanoparticles with </w:t>
      </w:r>
      <w:proofErr w:type="spellStart"/>
      <w:r w:rsidRPr="0039202A">
        <w:rPr>
          <w:sz w:val="22"/>
          <w:lang w:val="en-US"/>
        </w:rPr>
        <w:t>humic</w:t>
      </w:r>
      <w:proofErr w:type="spellEnd"/>
      <w:r w:rsidRPr="0039202A">
        <w:rPr>
          <w:sz w:val="22"/>
          <w:lang w:val="en-US"/>
        </w:rPr>
        <w:t xml:space="preserve"> substances.</w:t>
      </w:r>
    </w:p>
    <w:p w:rsidR="003C4BB0" w:rsidRPr="0039202A" w:rsidRDefault="00BB3195" w:rsidP="0039202A">
      <w:pPr>
        <w:spacing w:line="240" w:lineRule="auto"/>
        <w:rPr>
          <w:kern w:val="24"/>
          <w:sz w:val="22"/>
          <w:lang w:val="en-US"/>
        </w:rPr>
      </w:pPr>
      <w:r w:rsidRPr="0039202A">
        <w:rPr>
          <w:kern w:val="24"/>
          <w:sz w:val="22"/>
          <w:lang w:val="en-US"/>
        </w:rPr>
        <w:t>The work was carried out using the equipment of the Analytical Center for Collective Use of the IPCP RAS on the topic of state task No. state registration AAAA-A19-119032690060-9 and with the financial support of the Russian Foundation for Basic Research (No. 20-54-26012, synthesis of nanomaterials).</w:t>
      </w:r>
    </w:p>
    <w:p w:rsidR="00BB3195" w:rsidRPr="0039202A" w:rsidRDefault="00BB3195" w:rsidP="0039202A">
      <w:pPr>
        <w:spacing w:line="240" w:lineRule="auto"/>
        <w:rPr>
          <w:kern w:val="24"/>
          <w:sz w:val="22"/>
          <w:lang w:val="en-US"/>
        </w:rPr>
      </w:pPr>
    </w:p>
    <w:p w:rsidR="0039202A" w:rsidRPr="0039202A" w:rsidRDefault="0039202A" w:rsidP="0039202A">
      <w:pPr>
        <w:spacing w:line="240" w:lineRule="auto"/>
        <w:rPr>
          <w:b/>
          <w:bCs/>
          <w:sz w:val="22"/>
        </w:rPr>
      </w:pPr>
      <w:proofErr w:type="spellStart"/>
      <w:r w:rsidRPr="0039202A">
        <w:rPr>
          <w:b/>
          <w:bCs/>
          <w:sz w:val="22"/>
        </w:rPr>
        <w:t>References</w:t>
      </w:r>
      <w:proofErr w:type="spellEnd"/>
      <w:r w:rsidRPr="0039202A">
        <w:rPr>
          <w:b/>
          <w:bCs/>
          <w:sz w:val="22"/>
        </w:rPr>
        <w:t>:</w:t>
      </w:r>
    </w:p>
    <w:p w:rsidR="003C4BB0" w:rsidRPr="0039202A" w:rsidRDefault="003C4BB0" w:rsidP="0039202A">
      <w:pPr>
        <w:spacing w:line="240" w:lineRule="auto"/>
        <w:rPr>
          <w:color w:val="000000" w:themeColor="text1"/>
          <w:sz w:val="22"/>
          <w:lang w:val="en-US"/>
        </w:rPr>
      </w:pPr>
      <w:r w:rsidRPr="0039202A">
        <w:rPr>
          <w:sz w:val="22"/>
          <w:lang w:val="en-US"/>
        </w:rPr>
        <w:t>[1] Li M, Liu Y, Zeng G, Liu S.,</w:t>
      </w:r>
      <w:r w:rsidRPr="0039202A">
        <w:rPr>
          <w:color w:val="000000" w:themeColor="text1"/>
          <w:sz w:val="22"/>
          <w:lang w:val="en-US"/>
        </w:rPr>
        <w:t xml:space="preserve"> </w:t>
      </w:r>
      <w:r w:rsidRPr="0039202A">
        <w:rPr>
          <w:i/>
          <w:color w:val="000000" w:themeColor="text1"/>
          <w:sz w:val="22"/>
          <w:lang w:val="en-US"/>
        </w:rPr>
        <w:t>J Colloid Interface Sci.</w:t>
      </w:r>
      <w:r w:rsidRPr="0039202A">
        <w:rPr>
          <w:color w:val="000000" w:themeColor="text1"/>
          <w:sz w:val="22"/>
          <w:lang w:val="en-US"/>
        </w:rPr>
        <w:t xml:space="preserve">, </w:t>
      </w:r>
      <w:r w:rsidRPr="0039202A">
        <w:rPr>
          <w:sz w:val="22"/>
          <w:lang w:val="en-US"/>
        </w:rPr>
        <w:t>2017,</w:t>
      </w:r>
      <w:r w:rsidRPr="0039202A">
        <w:rPr>
          <w:color w:val="000000" w:themeColor="text1"/>
          <w:sz w:val="22"/>
          <w:lang w:val="en-US"/>
        </w:rPr>
        <w:t xml:space="preserve"> </w:t>
      </w:r>
      <w:r w:rsidRPr="0039202A">
        <w:rPr>
          <w:b/>
          <w:color w:val="000000" w:themeColor="text1"/>
          <w:sz w:val="22"/>
          <w:lang w:val="en-US"/>
        </w:rPr>
        <w:t>485</w:t>
      </w:r>
      <w:r w:rsidRPr="0039202A">
        <w:rPr>
          <w:color w:val="000000" w:themeColor="text1"/>
          <w:sz w:val="22"/>
          <w:lang w:val="en-US"/>
        </w:rPr>
        <w:t xml:space="preserve">, 269-279. </w:t>
      </w:r>
    </w:p>
    <w:p w:rsidR="003C4BB0" w:rsidRPr="0039202A" w:rsidRDefault="003C4BB0" w:rsidP="0039202A">
      <w:pPr>
        <w:spacing w:line="240" w:lineRule="auto"/>
        <w:rPr>
          <w:color w:val="000000" w:themeColor="text1"/>
          <w:sz w:val="22"/>
          <w:lang w:val="en-US"/>
        </w:rPr>
      </w:pPr>
      <w:r w:rsidRPr="0039202A">
        <w:rPr>
          <w:color w:val="000000" w:themeColor="text1"/>
          <w:sz w:val="22"/>
          <w:lang w:val="en-US"/>
        </w:rPr>
        <w:t xml:space="preserve">[2] </w:t>
      </w:r>
      <w:proofErr w:type="spellStart"/>
      <w:r w:rsidRPr="0039202A">
        <w:rPr>
          <w:color w:val="000000" w:themeColor="text1"/>
          <w:sz w:val="22"/>
          <w:lang w:val="en-US"/>
        </w:rPr>
        <w:t>Saif</w:t>
      </w:r>
      <w:proofErr w:type="spellEnd"/>
      <w:r w:rsidRPr="0039202A">
        <w:rPr>
          <w:color w:val="000000" w:themeColor="text1"/>
          <w:sz w:val="22"/>
          <w:lang w:val="en-US"/>
        </w:rPr>
        <w:t xml:space="preserve"> B, Wang C, </w:t>
      </w:r>
      <w:proofErr w:type="spellStart"/>
      <w:r w:rsidRPr="0039202A">
        <w:rPr>
          <w:color w:val="000000" w:themeColor="text1"/>
          <w:sz w:val="22"/>
          <w:lang w:val="en-US"/>
        </w:rPr>
        <w:t>Chuan</w:t>
      </w:r>
      <w:proofErr w:type="spellEnd"/>
      <w:r w:rsidRPr="0039202A">
        <w:rPr>
          <w:color w:val="000000" w:themeColor="text1"/>
          <w:sz w:val="22"/>
          <w:lang w:val="en-US"/>
        </w:rPr>
        <w:t xml:space="preserve"> D., </w:t>
      </w:r>
      <w:r w:rsidRPr="0039202A">
        <w:rPr>
          <w:i/>
          <w:color w:val="000000" w:themeColor="text1"/>
          <w:sz w:val="22"/>
          <w:lang w:val="en-US"/>
        </w:rPr>
        <w:t>JBNB</w:t>
      </w:r>
      <w:r w:rsidRPr="0039202A">
        <w:rPr>
          <w:color w:val="000000" w:themeColor="text1"/>
          <w:sz w:val="22"/>
          <w:lang w:val="en-US"/>
        </w:rPr>
        <w:t xml:space="preserve">, 2015, </w:t>
      </w:r>
      <w:r w:rsidRPr="0039202A">
        <w:rPr>
          <w:b/>
          <w:color w:val="000000" w:themeColor="text1"/>
          <w:sz w:val="22"/>
          <w:lang w:val="en-US"/>
        </w:rPr>
        <w:t>6</w:t>
      </w:r>
      <w:r w:rsidRPr="0039202A">
        <w:rPr>
          <w:color w:val="000000" w:themeColor="text1"/>
          <w:sz w:val="22"/>
          <w:lang w:val="en-US"/>
        </w:rPr>
        <w:t xml:space="preserve">, 267-275. </w:t>
      </w:r>
    </w:p>
    <w:p w:rsidR="003C4BB0" w:rsidRPr="0039202A" w:rsidRDefault="003C4BB0" w:rsidP="0039202A">
      <w:pPr>
        <w:spacing w:line="240" w:lineRule="auto"/>
        <w:rPr>
          <w:color w:val="000000" w:themeColor="text1"/>
          <w:sz w:val="22"/>
          <w:lang w:val="en-US"/>
        </w:rPr>
      </w:pPr>
      <w:r w:rsidRPr="0039202A">
        <w:rPr>
          <w:color w:val="000000" w:themeColor="text1"/>
          <w:sz w:val="22"/>
          <w:lang w:val="en-US"/>
        </w:rPr>
        <w:t xml:space="preserve">[3] Bini R.A., Marques R.F.C., Santos F.J., </w:t>
      </w:r>
      <w:proofErr w:type="spellStart"/>
      <w:r w:rsidRPr="0039202A">
        <w:rPr>
          <w:color w:val="000000" w:themeColor="text1"/>
          <w:sz w:val="22"/>
          <w:lang w:val="en-US"/>
        </w:rPr>
        <w:t>Chaker</w:t>
      </w:r>
      <w:proofErr w:type="spellEnd"/>
      <w:r w:rsidRPr="0039202A">
        <w:rPr>
          <w:color w:val="000000" w:themeColor="text1"/>
          <w:sz w:val="22"/>
          <w:lang w:val="en-US"/>
        </w:rPr>
        <w:t xml:space="preserve"> J.A., </w:t>
      </w:r>
      <w:proofErr w:type="spellStart"/>
      <w:r w:rsidRPr="0039202A">
        <w:rPr>
          <w:color w:val="000000" w:themeColor="text1"/>
          <w:sz w:val="22"/>
          <w:lang w:val="en-US"/>
        </w:rPr>
        <w:t>Jafelicci</w:t>
      </w:r>
      <w:proofErr w:type="spellEnd"/>
      <w:r w:rsidRPr="0039202A">
        <w:rPr>
          <w:color w:val="000000" w:themeColor="text1"/>
          <w:sz w:val="22"/>
          <w:lang w:val="en-US"/>
        </w:rPr>
        <w:t xml:space="preserve"> M., </w:t>
      </w:r>
      <w:r w:rsidRPr="0039202A">
        <w:rPr>
          <w:i/>
          <w:color w:val="000000" w:themeColor="text1"/>
          <w:sz w:val="22"/>
          <w:lang w:val="en-US"/>
        </w:rPr>
        <w:t xml:space="preserve">J. </w:t>
      </w:r>
      <w:proofErr w:type="spellStart"/>
      <w:r w:rsidRPr="0039202A">
        <w:rPr>
          <w:i/>
          <w:color w:val="000000" w:themeColor="text1"/>
          <w:sz w:val="22"/>
          <w:lang w:val="en-US"/>
        </w:rPr>
        <w:t>Magn</w:t>
      </w:r>
      <w:proofErr w:type="spellEnd"/>
      <w:r w:rsidRPr="0039202A">
        <w:rPr>
          <w:i/>
          <w:color w:val="000000" w:themeColor="text1"/>
          <w:sz w:val="22"/>
          <w:lang w:val="en-US"/>
        </w:rPr>
        <w:t xml:space="preserve">. </w:t>
      </w:r>
      <w:proofErr w:type="spellStart"/>
      <w:proofErr w:type="gramStart"/>
      <w:r w:rsidRPr="0039202A">
        <w:rPr>
          <w:i/>
          <w:color w:val="000000" w:themeColor="text1"/>
          <w:sz w:val="22"/>
          <w:lang w:val="en-US"/>
        </w:rPr>
        <w:t>Magn</w:t>
      </w:r>
      <w:proofErr w:type="spellEnd"/>
      <w:r w:rsidRPr="0039202A">
        <w:rPr>
          <w:i/>
          <w:color w:val="000000" w:themeColor="text1"/>
          <w:sz w:val="22"/>
          <w:lang w:val="en-US"/>
        </w:rPr>
        <w:t>.</w:t>
      </w:r>
      <w:proofErr w:type="gramEnd"/>
      <w:r w:rsidRPr="0039202A">
        <w:rPr>
          <w:i/>
          <w:color w:val="000000" w:themeColor="text1"/>
          <w:sz w:val="22"/>
          <w:lang w:val="en-US"/>
        </w:rPr>
        <w:t xml:space="preserve"> Mat.</w:t>
      </w:r>
      <w:r w:rsidRPr="0039202A">
        <w:rPr>
          <w:color w:val="000000" w:themeColor="text1"/>
          <w:sz w:val="22"/>
          <w:lang w:val="en-US"/>
        </w:rPr>
        <w:t xml:space="preserve">, 2012, </w:t>
      </w:r>
      <w:r w:rsidRPr="0039202A">
        <w:rPr>
          <w:b/>
          <w:color w:val="000000" w:themeColor="text1"/>
          <w:sz w:val="22"/>
          <w:lang w:val="en-US"/>
        </w:rPr>
        <w:t>324</w:t>
      </w:r>
      <w:r w:rsidRPr="0039202A">
        <w:rPr>
          <w:color w:val="000000" w:themeColor="text1"/>
          <w:sz w:val="22"/>
          <w:lang w:val="en-US"/>
        </w:rPr>
        <w:t xml:space="preserve">, 534–539. </w:t>
      </w:r>
    </w:p>
    <w:p w:rsidR="003C4BB0" w:rsidRPr="0039202A" w:rsidRDefault="003C4BB0" w:rsidP="0039202A">
      <w:pPr>
        <w:spacing w:line="240" w:lineRule="auto"/>
        <w:rPr>
          <w:sz w:val="22"/>
          <w:lang w:val="en-US"/>
        </w:rPr>
      </w:pPr>
      <w:r w:rsidRPr="0039202A">
        <w:rPr>
          <w:color w:val="000000" w:themeColor="text1"/>
          <w:sz w:val="22"/>
          <w:lang w:val="en-US"/>
        </w:rPr>
        <w:t xml:space="preserve">[4] </w:t>
      </w:r>
      <w:proofErr w:type="spellStart"/>
      <w:r w:rsidRPr="0039202A">
        <w:rPr>
          <w:color w:val="000000" w:themeColor="text1"/>
          <w:sz w:val="22"/>
        </w:rPr>
        <w:t>Еуров</w:t>
      </w:r>
      <w:proofErr w:type="spellEnd"/>
      <w:r w:rsidRPr="0039202A">
        <w:rPr>
          <w:color w:val="000000" w:themeColor="text1"/>
          <w:sz w:val="22"/>
          <w:lang w:val="en-US"/>
        </w:rPr>
        <w:t xml:space="preserve"> </w:t>
      </w:r>
      <w:r w:rsidRPr="0039202A">
        <w:rPr>
          <w:color w:val="000000" w:themeColor="text1"/>
          <w:sz w:val="22"/>
        </w:rPr>
        <w:t>Д</w:t>
      </w:r>
      <w:r w:rsidRPr="0039202A">
        <w:rPr>
          <w:color w:val="000000" w:themeColor="text1"/>
          <w:sz w:val="22"/>
          <w:lang w:val="en-US"/>
        </w:rPr>
        <w:t>.</w:t>
      </w:r>
      <w:r w:rsidRPr="0039202A">
        <w:rPr>
          <w:color w:val="000000" w:themeColor="text1"/>
          <w:sz w:val="22"/>
        </w:rPr>
        <w:t>А</w:t>
      </w:r>
      <w:r w:rsidRPr="0039202A">
        <w:rPr>
          <w:color w:val="000000" w:themeColor="text1"/>
          <w:sz w:val="22"/>
          <w:lang w:val="en-US"/>
        </w:rPr>
        <w:t xml:space="preserve">., </w:t>
      </w:r>
      <w:proofErr w:type="spellStart"/>
      <w:r w:rsidRPr="0039202A">
        <w:rPr>
          <w:color w:val="000000" w:themeColor="text1"/>
          <w:sz w:val="22"/>
          <w:shd w:val="clear" w:color="auto" w:fill="FFFFFF"/>
        </w:rPr>
        <w:t>Грудинкин</w:t>
      </w:r>
      <w:proofErr w:type="spellEnd"/>
      <w:r w:rsidRPr="0039202A">
        <w:rPr>
          <w:color w:val="000000" w:themeColor="text1"/>
          <w:sz w:val="22"/>
          <w:shd w:val="clear" w:color="auto" w:fill="FFFFFF"/>
          <w:lang w:val="en-US"/>
        </w:rPr>
        <w:t xml:space="preserve"> </w:t>
      </w:r>
      <w:r w:rsidRPr="0039202A">
        <w:rPr>
          <w:color w:val="000000" w:themeColor="text1"/>
          <w:sz w:val="22"/>
          <w:shd w:val="clear" w:color="auto" w:fill="FFFFFF"/>
        </w:rPr>
        <w:t>С</w:t>
      </w:r>
      <w:r w:rsidRPr="0039202A">
        <w:rPr>
          <w:color w:val="000000" w:themeColor="text1"/>
          <w:sz w:val="22"/>
          <w:shd w:val="clear" w:color="auto" w:fill="FFFFFF"/>
          <w:lang w:val="en-US"/>
        </w:rPr>
        <w:t>.</w:t>
      </w:r>
      <w:r w:rsidRPr="0039202A">
        <w:rPr>
          <w:color w:val="000000" w:themeColor="text1"/>
          <w:sz w:val="22"/>
          <w:shd w:val="clear" w:color="auto" w:fill="FFFFFF"/>
        </w:rPr>
        <w:t>А</w:t>
      </w:r>
      <w:r w:rsidRPr="0039202A">
        <w:rPr>
          <w:color w:val="000000" w:themeColor="text1"/>
          <w:sz w:val="22"/>
          <w:shd w:val="clear" w:color="auto" w:fill="FFFFFF"/>
          <w:lang w:val="en-US"/>
        </w:rPr>
        <w:t>., </w:t>
      </w:r>
      <w:r w:rsidRPr="0039202A">
        <w:rPr>
          <w:bCs/>
          <w:color w:val="000000" w:themeColor="text1"/>
          <w:sz w:val="22"/>
          <w:shd w:val="clear" w:color="auto" w:fill="FFFFFF"/>
        </w:rPr>
        <w:t>Курдюков</w:t>
      </w:r>
      <w:r w:rsidRPr="0039202A">
        <w:rPr>
          <w:bCs/>
          <w:color w:val="000000" w:themeColor="text1"/>
          <w:sz w:val="22"/>
          <w:shd w:val="clear" w:color="auto" w:fill="FFFFFF"/>
          <w:lang w:val="en-US"/>
        </w:rPr>
        <w:t xml:space="preserve"> </w:t>
      </w:r>
      <w:r w:rsidRPr="0039202A">
        <w:rPr>
          <w:color w:val="000000" w:themeColor="text1"/>
          <w:sz w:val="22"/>
          <w:shd w:val="clear" w:color="auto" w:fill="FFFFFF"/>
        </w:rPr>
        <w:t>Д</w:t>
      </w:r>
      <w:r w:rsidRPr="0039202A">
        <w:rPr>
          <w:color w:val="000000" w:themeColor="text1"/>
          <w:sz w:val="22"/>
          <w:shd w:val="clear" w:color="auto" w:fill="FFFFFF"/>
          <w:lang w:val="en-US"/>
        </w:rPr>
        <w:t>.</w:t>
      </w:r>
      <w:r w:rsidRPr="0039202A">
        <w:rPr>
          <w:color w:val="000000" w:themeColor="text1"/>
          <w:sz w:val="22"/>
          <w:shd w:val="clear" w:color="auto" w:fill="FFFFFF"/>
        </w:rPr>
        <w:t>А</w:t>
      </w:r>
      <w:r w:rsidRPr="0039202A">
        <w:rPr>
          <w:color w:val="000000" w:themeColor="text1"/>
          <w:sz w:val="22"/>
          <w:shd w:val="clear" w:color="auto" w:fill="FFFFFF"/>
          <w:lang w:val="en-US"/>
        </w:rPr>
        <w:t xml:space="preserve">., </w:t>
      </w:r>
      <w:r w:rsidRPr="0039202A">
        <w:rPr>
          <w:i/>
          <w:color w:val="000000" w:themeColor="text1"/>
          <w:sz w:val="22"/>
          <w:shd w:val="clear" w:color="auto" w:fill="FFFFFF"/>
        </w:rPr>
        <w:t>ФТТ</w:t>
      </w:r>
      <w:r w:rsidRPr="0039202A">
        <w:rPr>
          <w:color w:val="000000" w:themeColor="text1"/>
          <w:sz w:val="22"/>
          <w:shd w:val="clear" w:color="auto" w:fill="FFFFFF"/>
          <w:lang w:val="en-US"/>
        </w:rPr>
        <w:t xml:space="preserve">, 2015, </w:t>
      </w:r>
      <w:r w:rsidRPr="0039202A">
        <w:rPr>
          <w:b/>
          <w:color w:val="000000" w:themeColor="text1"/>
          <w:sz w:val="22"/>
          <w:shd w:val="clear" w:color="auto" w:fill="FFFFFF"/>
          <w:lang w:val="en-US"/>
        </w:rPr>
        <w:t>57</w:t>
      </w:r>
      <w:r w:rsidRPr="0039202A">
        <w:rPr>
          <w:color w:val="000000" w:themeColor="text1"/>
          <w:sz w:val="22"/>
          <w:shd w:val="clear" w:color="auto" w:fill="FFFFFF"/>
          <w:lang w:val="en-US"/>
        </w:rPr>
        <w:t>, 2031-2036.</w:t>
      </w:r>
    </w:p>
    <w:p w:rsidR="00747A0C" w:rsidRPr="0039202A" w:rsidRDefault="00747A0C" w:rsidP="0039202A">
      <w:pPr>
        <w:spacing w:line="240" w:lineRule="auto"/>
        <w:rPr>
          <w:sz w:val="22"/>
          <w:lang w:val="en-US"/>
        </w:rPr>
      </w:pPr>
    </w:p>
    <w:sectPr w:rsidR="00747A0C" w:rsidRPr="0039202A" w:rsidSect="00B77F9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E49C5"/>
    <w:multiLevelType w:val="hybridMultilevel"/>
    <w:tmpl w:val="29DC58A0"/>
    <w:lvl w:ilvl="0" w:tplc="EEE43D6E">
      <w:start w:val="6"/>
      <w:numFmt w:val="bullet"/>
      <w:lvlText w:val="-"/>
      <w:lvlJc w:val="left"/>
      <w:pPr>
        <w:ind w:left="927" w:hanging="360"/>
      </w:pPr>
      <w:rPr>
        <w:rFonts w:ascii="Times New Roman" w:eastAsia="Calibri"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
    <w:nsid w:val="37F74574"/>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476A00"/>
    <w:multiLevelType w:val="multilevel"/>
    <w:tmpl w:val="0419001D"/>
    <w:styleLink w:val="1ai"/>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31C"/>
    <w:rsid w:val="000D76EE"/>
    <w:rsid w:val="002815A3"/>
    <w:rsid w:val="002B08A6"/>
    <w:rsid w:val="002B2182"/>
    <w:rsid w:val="002D191B"/>
    <w:rsid w:val="002D5490"/>
    <w:rsid w:val="003371D9"/>
    <w:rsid w:val="00361D47"/>
    <w:rsid w:val="0039202A"/>
    <w:rsid w:val="003C4BB0"/>
    <w:rsid w:val="004C7BBD"/>
    <w:rsid w:val="005076D8"/>
    <w:rsid w:val="00573D3C"/>
    <w:rsid w:val="005A3506"/>
    <w:rsid w:val="005C219D"/>
    <w:rsid w:val="00647F36"/>
    <w:rsid w:val="006660C8"/>
    <w:rsid w:val="006D14D9"/>
    <w:rsid w:val="006D431C"/>
    <w:rsid w:val="006E4F12"/>
    <w:rsid w:val="00747A0C"/>
    <w:rsid w:val="007A6704"/>
    <w:rsid w:val="007C32F1"/>
    <w:rsid w:val="00864548"/>
    <w:rsid w:val="00887A41"/>
    <w:rsid w:val="009714A1"/>
    <w:rsid w:val="00A0615D"/>
    <w:rsid w:val="00AC4231"/>
    <w:rsid w:val="00B42066"/>
    <w:rsid w:val="00B57D69"/>
    <w:rsid w:val="00B77F92"/>
    <w:rsid w:val="00BB3195"/>
    <w:rsid w:val="00BF2699"/>
    <w:rsid w:val="00C20014"/>
    <w:rsid w:val="00D0250A"/>
    <w:rsid w:val="00D02CF8"/>
    <w:rsid w:val="00D43888"/>
    <w:rsid w:val="00E25B09"/>
    <w:rsid w:val="00E323AC"/>
    <w:rsid w:val="00E4379D"/>
    <w:rsid w:val="00E84D90"/>
    <w:rsid w:val="00F31D21"/>
    <w:rsid w:val="00FD5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B09"/>
    <w:pPr>
      <w:spacing w:after="0"/>
      <w:ind w:firstLine="567"/>
      <w:jc w:val="both"/>
    </w:pPr>
    <w:rPr>
      <w:rFonts w:eastAsia="Calibri"/>
      <w:color w:val="auto"/>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styleId="1ai">
    <w:name w:val="Outline List 1"/>
    <w:basedOn w:val="a2"/>
    <w:uiPriority w:val="99"/>
    <w:semiHidden/>
    <w:unhideWhenUsed/>
    <w:rsid w:val="00E4379D"/>
    <w:pPr>
      <w:numPr>
        <w:numId w:val="2"/>
      </w:numPr>
    </w:pPr>
  </w:style>
  <w:style w:type="paragraph" w:styleId="a3">
    <w:name w:val="List Paragraph"/>
    <w:basedOn w:val="a"/>
    <w:uiPriority w:val="34"/>
    <w:qFormat/>
    <w:rsid w:val="00E25B09"/>
    <w:pPr>
      <w:ind w:left="720"/>
      <w:contextualSpacing/>
    </w:pPr>
  </w:style>
  <w:style w:type="paragraph" w:customStyle="1" w:styleId="References">
    <w:name w:val="References"/>
    <w:basedOn w:val="a"/>
    <w:qFormat/>
    <w:rsid w:val="00647F36"/>
    <w:pPr>
      <w:spacing w:line="240" w:lineRule="auto"/>
      <w:ind w:firstLine="0"/>
    </w:pPr>
    <w:rPr>
      <w:rFonts w:ascii="Arial" w:eastAsia="Times New Roman" w:hAnsi="Arial"/>
      <w:noProof/>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B09"/>
    <w:pPr>
      <w:spacing w:after="0"/>
      <w:ind w:firstLine="567"/>
      <w:jc w:val="both"/>
    </w:pPr>
    <w:rPr>
      <w:rFonts w:eastAsia="Calibri"/>
      <w:color w:val="auto"/>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styleId="1ai">
    <w:name w:val="Outline List 1"/>
    <w:basedOn w:val="a2"/>
    <w:uiPriority w:val="99"/>
    <w:semiHidden/>
    <w:unhideWhenUsed/>
    <w:rsid w:val="00E4379D"/>
    <w:pPr>
      <w:numPr>
        <w:numId w:val="2"/>
      </w:numPr>
    </w:pPr>
  </w:style>
  <w:style w:type="paragraph" w:styleId="a3">
    <w:name w:val="List Paragraph"/>
    <w:basedOn w:val="a"/>
    <w:uiPriority w:val="34"/>
    <w:qFormat/>
    <w:rsid w:val="00E25B09"/>
    <w:pPr>
      <w:ind w:left="720"/>
      <w:contextualSpacing/>
    </w:pPr>
  </w:style>
  <w:style w:type="paragraph" w:customStyle="1" w:styleId="References">
    <w:name w:val="References"/>
    <w:basedOn w:val="a"/>
    <w:qFormat/>
    <w:rsid w:val="00647F36"/>
    <w:pPr>
      <w:spacing w:line="240" w:lineRule="auto"/>
      <w:ind w:firstLine="0"/>
    </w:pPr>
    <w:rPr>
      <w:rFonts w:ascii="Arial" w:eastAsia="Times New Roman" w:hAnsi="Arial"/>
      <w:noProof/>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91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589</Words>
  <Characters>3358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12</cp:revision>
  <dcterms:created xsi:type="dcterms:W3CDTF">2022-03-18T18:42:00Z</dcterms:created>
  <dcterms:modified xsi:type="dcterms:W3CDTF">2022-03-18T19:43:00Z</dcterms:modified>
</cp:coreProperties>
</file>