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58" w:rsidRPr="00712858" w:rsidRDefault="00712858" w:rsidP="00712858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858">
        <w:rPr>
          <w:rFonts w:ascii="Times New Roman" w:hAnsi="Times New Roman" w:cs="Times New Roman"/>
          <w:b/>
          <w:sz w:val="24"/>
          <w:szCs w:val="24"/>
        </w:rPr>
        <w:t>Акушерство и гинекология. — 2019. — № 6. — С. 88–93.</w:t>
      </w:r>
    </w:p>
    <w:p w:rsidR="00712858" w:rsidRDefault="00712858" w:rsidP="00712858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</w:pPr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 xml:space="preserve">Полное удаление </w:t>
      </w:r>
      <w:proofErr w:type="spellStart"/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>zona</w:t>
      </w:r>
      <w:proofErr w:type="spellEnd"/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b/>
          <w:color w:val="2D3033"/>
          <w:kern w:val="36"/>
          <w:sz w:val="28"/>
          <w:szCs w:val="28"/>
          <w:lang w:eastAsia="ru-RU"/>
        </w:rPr>
        <w:t xml:space="preserve"> перед переносом в крио-цикле не влияет на результативность программ ЭКО</w:t>
      </w:r>
    </w:p>
    <w:p w:rsidR="00712858" w:rsidRPr="00764BAD" w:rsidRDefault="00712858" w:rsidP="00712858">
      <w:pPr>
        <w:shd w:val="clear" w:color="auto" w:fill="FFFFFF"/>
        <w:spacing w:line="308" w:lineRule="atLeast"/>
        <w:outlineLvl w:val="2"/>
        <w:rPr>
          <w:rFonts w:ascii="Tahoma" w:eastAsia="Times New Roman" w:hAnsi="Tahoma" w:cs="Tahoma"/>
          <w:sz w:val="27"/>
          <w:szCs w:val="27"/>
          <w:lang w:eastAsia="ru-RU"/>
        </w:rPr>
      </w:pPr>
      <w:r w:rsidRPr="00764BAD">
        <w:rPr>
          <w:rFonts w:ascii="Tahoma" w:eastAsia="Times New Roman" w:hAnsi="Tahoma" w:cs="Tahoma"/>
          <w:sz w:val="27"/>
          <w:szCs w:val="27"/>
          <w:lang w:eastAsia="ru-RU"/>
        </w:rPr>
        <w:t xml:space="preserve">Кириенко К.В., </w:t>
      </w:r>
      <w:proofErr w:type="spellStart"/>
      <w:r w:rsidRPr="00764BAD">
        <w:rPr>
          <w:rFonts w:ascii="Tahoma" w:eastAsia="Times New Roman" w:hAnsi="Tahoma" w:cs="Tahoma"/>
          <w:sz w:val="27"/>
          <w:szCs w:val="27"/>
          <w:lang w:eastAsia="ru-RU"/>
        </w:rPr>
        <w:t>Апрышко</w:t>
      </w:r>
      <w:proofErr w:type="spellEnd"/>
      <w:r w:rsidRPr="00764BAD">
        <w:rPr>
          <w:rFonts w:ascii="Tahoma" w:eastAsia="Times New Roman" w:hAnsi="Tahoma" w:cs="Tahoma"/>
          <w:sz w:val="27"/>
          <w:szCs w:val="27"/>
          <w:lang w:eastAsia="ru-RU"/>
        </w:rPr>
        <w:t xml:space="preserve"> В.П., Миронова А.Г., Харитонова</w:t>
      </w:r>
      <w:r w:rsidRPr="00764BAD">
        <w:rPr>
          <w:rFonts w:ascii="Tahoma" w:eastAsia="Times New Roman" w:hAnsi="Tahoma" w:cs="Tahoma"/>
          <w:sz w:val="27"/>
          <w:szCs w:val="27"/>
          <w:lang w:eastAsia="ru-RU"/>
        </w:rPr>
        <w:t> </w:t>
      </w:r>
      <w:r w:rsidRPr="00764BAD">
        <w:rPr>
          <w:rFonts w:ascii="Tahoma" w:eastAsia="Times New Roman" w:hAnsi="Tahoma" w:cs="Tahoma"/>
          <w:sz w:val="27"/>
          <w:szCs w:val="27"/>
          <w:lang w:eastAsia="ru-RU"/>
        </w:rPr>
        <w:t xml:space="preserve">М.А., Ермилова И.Ю., Наумова А.А., </w:t>
      </w:r>
      <w:proofErr w:type="spellStart"/>
      <w:r w:rsidRPr="00764BAD">
        <w:rPr>
          <w:rFonts w:ascii="Tahoma" w:eastAsia="Times New Roman" w:hAnsi="Tahoma" w:cs="Tahoma"/>
          <w:sz w:val="27"/>
          <w:szCs w:val="27"/>
          <w:lang w:eastAsia="ru-RU"/>
        </w:rPr>
        <w:t>Клепуков</w:t>
      </w:r>
      <w:proofErr w:type="spellEnd"/>
      <w:r w:rsidRPr="00764BAD">
        <w:rPr>
          <w:rFonts w:ascii="Tahoma" w:eastAsia="Times New Roman" w:hAnsi="Tahoma" w:cs="Tahoma"/>
          <w:sz w:val="27"/>
          <w:szCs w:val="27"/>
          <w:lang w:eastAsia="ru-RU"/>
        </w:rPr>
        <w:t xml:space="preserve"> А.А., Болт А.И., </w:t>
      </w:r>
      <w:proofErr w:type="spellStart"/>
      <w:r w:rsidRPr="00764BAD">
        <w:rPr>
          <w:rFonts w:ascii="Tahoma" w:eastAsia="Times New Roman" w:hAnsi="Tahoma" w:cs="Tahoma"/>
          <w:sz w:val="27"/>
          <w:szCs w:val="27"/>
          <w:lang w:eastAsia="ru-RU"/>
        </w:rPr>
        <w:t>Бозина</w:t>
      </w:r>
      <w:proofErr w:type="spellEnd"/>
      <w:r w:rsidRPr="00764BAD">
        <w:rPr>
          <w:rFonts w:ascii="Tahoma" w:eastAsia="Times New Roman" w:hAnsi="Tahoma" w:cs="Tahoma"/>
          <w:sz w:val="27"/>
          <w:szCs w:val="27"/>
          <w:lang w:eastAsia="ru-RU"/>
        </w:rPr>
        <w:t xml:space="preserve"> Я.В., Лебедева Е.Б., Симоненко Е.Ю., Яковенко С.А.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t>1) Клиника репродукции человека «</w:t>
      </w:r>
      <w:proofErr w:type="spellStart"/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t>АльтраВита</w:t>
      </w:r>
      <w:proofErr w:type="spellEnd"/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t>», ООО «ЭКО ЦЕНТР», Москва, Россия;</w:t>
      </w:r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br/>
        <w:t>2) ФГБОУВО «Московский государственный университет им. М.В. Ломоносова», биологический факультет, Москва, Россия;</w:t>
      </w:r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br/>
        <w:t xml:space="preserve">3) Институт биохимической физики им. Н.М. </w:t>
      </w:r>
      <w:proofErr w:type="spellStart"/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t>Эмануэля</w:t>
      </w:r>
      <w:proofErr w:type="spellEnd"/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t xml:space="preserve"> РАН, Москва, Россия;</w:t>
      </w:r>
      <w:r w:rsidRPr="00712858">
        <w:rPr>
          <w:rFonts w:ascii="Segoe UI" w:eastAsia="Times New Roman" w:hAnsi="Segoe UI" w:cs="Segoe UI"/>
          <w:color w:val="2D3033"/>
          <w:sz w:val="18"/>
          <w:szCs w:val="18"/>
          <w:lang w:eastAsia="ru-RU"/>
        </w:rPr>
        <w:br/>
        <w:t>4) ФГБОУВО «Московский государственный университет им. М.В. Ломоносова», физический факультет, Москва, Россия</w:t>
      </w:r>
    </w:p>
    <w:p w:rsidR="00712858" w:rsidRPr="00712858" w:rsidRDefault="00712858" w:rsidP="00712858">
      <w:pPr>
        <w:shd w:val="clear" w:color="auto" w:fill="FFFFFF"/>
        <w:spacing w:after="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Цель исследования. Произвести оценку эффективности программ ЭКО при переносе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криоцикле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, у которых была удалена блестящая оболочка.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br/>
        <w:t xml:space="preserve">Материал и методы. В экспериментальную группу вошли 209 пациенток, эмбрионы которых перед переносом подвергались полному механическому удалению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zona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); в контрольной группе, состоявшей из 222 пациенток, для переноса использовали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интактной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Оценивали: частоту имплантации эмбрионов, частоту клинической и прогрессирующей клинической беременности.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br/>
        <w:t xml:space="preserve">Результаты. Все клинические исходы программ не имели статистически значимых различий в группе эмбрионов с удаленной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с эмбрионами контрольной группы, включая подгруппы пациенток до 36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лет включительно и пациенток старше 36 лет.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br/>
        <w:t xml:space="preserve">Заключение.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у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перед их переносом в крио-цикле не влияет на результативность программ ЭКО.</w:t>
      </w:r>
    </w:p>
    <w:p w:rsid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Выход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из блестящей оболочки (т.е.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является необходимым условием для адгезии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нидации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эмбриона в эндометрий и наступления беременности. Устойчивость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zona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к действию литических ферментов является одним из неблагоприятных явлений, возникающих в процессе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криоконсервации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/оттаивания ооцитов и эмбрионов. Такое «упрочнение»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приводит к повышению ее устойчивости к действию лизинов, секретируемых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трофэктодермой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эмбриона, что, в свою очередь, приводит к нарушению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[1]. Тем не менее, данный феномен может быть сведен к минимуму использованием процедуры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Процедура витрификации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человека может приводить к упрочнению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эмбриона. Сообщалось, что после витрификации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человека значительно увеличивается устойчивость к ферментативному удалению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проназой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 сравнению с эмбрионами, не подвергавшимися процедуре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криоконсервации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/оттаивания [2].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lastRenderedPageBreak/>
        <w:t xml:space="preserve">Также сообщалось, что вспомогательный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улучшает клинические исходы в циклах переноса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эмбрионов [3]. Существует вероятность того, что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со сниженной жизнеспособностью не в состоянии самостоятельно вылупиться даже после частичного удаления или истончения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Кроме того,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эмбриона через отверстие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полученное в результате применения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также требует от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значительных энергетических затрат и может вызывать заметное изменение их формы [4]. Поэтому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Vajta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G.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соавт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[4] предположили, что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у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может иметь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бóльшее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положительное влияние на ее имплантацию, нежели частичное удаление или нарушение целостности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В предварительных исследованиях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K. было показано, что при переносе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витрифицированных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приводило к более высоким долям беременности, имплантации и родов, чем частичное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[5].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Целью настоящего исследования является оценка эффективности программ ЭКО при переносе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криоцикле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витрифицированных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у которых, механическим способом была полностью удалена блестящая оболочка по сравнению с переносом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zp-интактных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эмбрионов.</w:t>
      </w:r>
    </w:p>
    <w:p w:rsidR="00712858" w:rsidRPr="00712858" w:rsidRDefault="00712858" w:rsidP="00712858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  <w:t>Материалы и методы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Работа проводилась на базе клиники «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АльтраВита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», Москва. В настоящем исследовании приняли участие 431 пациентка, проходящая лечение методами ЭКО с переносом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витрифицированных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криоцикле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(общее число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— 476), которые были разделена на 2 группы: экспериментальную (209 пациенток, 230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с переносом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витрифицированных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подвергшихся полному удалению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и контрольную (222 пациентки, 246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с переносом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витрифицированных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zp-интактных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Все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хорошего качества были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криоконсервированы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на 5-6-й день развития и разморожены непосредственно в день переноса эмбриона. Эмбрионы пациенток были случайным образом отнесены к экспериментальной или контрольной группе. После переноса эмбрионов оценивали следующие показатели: доля имплантации эмбрионов, частота наступления клинической, прогрессирующей клинической и многоплодной беременностей.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Возраст женщин составил от 23 до 49 лет (медиана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Ме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 и квартили Q1, Q3 возраста женщин составили 33,5 (29,8; 36,6) и 33,0 (30,0; 38,0) года в опытной и контрольной группах (p=0,32) соответственно.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Овариальная стимуляция. Индукцию суперовуляции проводили по протоколу с применением антагонистов гонадотропин-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рилизинг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гормона со 2–3 дня менструального цикла с использованием рекомбинантных и/или мочевых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lastRenderedPageBreak/>
        <w:t>гонадотропинов в суточной дозе 150—300 МЕ. Овуляцию инициировали введением хорионического гонадотропина человека в дозе 10 000 МЕ за 34—36 ч до пункции фолликулов.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Получение ооцитов. Аспирацию фолликулов выполняли под внутривенным наркозом. Ооциты, окруженные слоем клеток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кумулюса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получали в результате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трансвагинальной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пункции фолликулов под ультразвуковым контролем спустя 34—36 ч после введения овуляторной дозы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хоринического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гонадотропина.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Оплодотворение. Для оплодотворения полученных ооцитов применяли процедуру ICSI или IMSI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Hoffman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modulation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[6, 7], в зависимости от параметров спермы.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Культивирование эмбрионов. Культивирование осуществляли в СО2–инкубаторе при 36,7 °C в увлажненной атмосфере с 7,3% СО2 и 20% O2. Эмбрионы культивировали индивидуально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микрокаплях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среды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LifeGlobal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 с добавлением 5 мг/мл белка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LifeGlobal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под слоем минерального масла. На 3-и сутки после оплодотворения производили замену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культуральной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среды на аналогичную свежую. Ежедневно проводили оценку развития эмбрионов. На 5—6 день развития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хорошего качества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криоконсервировали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 целью последующего переноса эмбриона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криоцикле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Оценка качества эмбрионов. Зиготы и эмбрионы индивидуально оценивали под микроскопом через ~18, ~45, ~72 и ~96 ч после оплодотворения на предмет их развития и качества. На 5-6-е сутки развития производили оценку качества сформировавшихся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Для переноса эмбриона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криоконсервации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были использованы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экспандированные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качества AA, AB, BA и BB по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Gardner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D.K.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оттаивание эмбрионов.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softHyphen/>
        <w:t>кон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softHyphen/>
        <w:t>сервирование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оттаивание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осуществляли с помощью наборов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Vitrification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Kit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(101)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Cryotech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Japan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Warming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Kit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(102)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Cryotech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Japan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 соответственно, согласно рекомендациям производителя.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Вспомогательный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Процедура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была выполнена через 5—15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мин после оттаивания эмбрионов (пока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оставались частично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коллапсированными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на инвертированном микроскопе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Leitz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Fluovert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FU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Wild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Leitz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GmbH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Germany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с использованием системы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Хоффмановского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модуляционного контраста и оборудованном комплектом микроманипуляторов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Narishige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Narishige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Tokyo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Japan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осуществляли на нагревательном столике при 37 °C в чашке Петри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микрокапле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среды HTF/HEPES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LifeGlobal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 с добавлением 5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мг/мл белка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LifeGlobal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 под слоем минерального масла.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lastRenderedPageBreak/>
        <w:t xml:space="preserve">Частичное механическое разрезание (70—90% окружности)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было выполнено с помощью микропипетки для рассечения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Cook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Medical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). После выполнения разреза эмбрион снимался с присасывающей пипетки, а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то есть полное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эмбриона из блестящей оболочки осуществляли при помощи мягкого механического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пипетирования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через капилляр диаметром 175—200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мкм. Для каждого эмбриона вся процедура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занимала не более 3 мин.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Оценка выживаемости. После завершения процедуры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несколько раз отмывали от манипуляционной среды и до момента переноса культивировали в среде HTF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LifeGlobal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 с добавлением 15 мг/мл белка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LifeGlobal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).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Выживаемость эмбрионов оценивали под микроскопом в течение 1—3 ч после оттаивания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прошедшие повторное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экспандирование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, были характеризованы как жизнеспособные.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Подготовка эндометрия, перенос эмбриона и оценка наступления беременности. Перенос размороженных эмбрионов осуществляли в естественных или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гормонозаместительных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циклах. В естественных циклах перенос эмбриона осуществляли на 5-й день после овуляции, независимо от дня (5-й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или 6-й)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Для подготовки эндометрия в циклах с использованием заместительной гормональной терапии все женщины получали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трансдермально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 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fldChar w:fldCharType="begin"/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instrText xml:space="preserve"> HYPERLINK "https://bz.medvestnik.ru/classify/mnn/Estradiol.html" \t "_blank" </w:instrTex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fldChar w:fldCharType="separate"/>
      </w:r>
      <w:r w:rsidRPr="00712858">
        <w:rPr>
          <w:rFonts w:ascii="Segoe UI" w:eastAsia="Times New Roman" w:hAnsi="Segoe UI" w:cs="Segoe UI"/>
          <w:color w:val="1AE069"/>
          <w:sz w:val="23"/>
          <w:szCs w:val="23"/>
          <w:u w:val="single"/>
          <w:lang w:eastAsia="ru-RU"/>
        </w:rPr>
        <w:t>эстрадиол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fldChar w:fldCharType="end"/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 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Дивигель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3,0 мг;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Orion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Corporation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, Финляндия). Введение прогестерона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Утрожестан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капс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200—600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мг/день;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Besins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Healthcare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Бельгия) начинали, когда толщина эндометрия превышала 8 мм. Перенос эмбрионов осуществляли на 5-й день после начала терапии прогестероном, независимо от дня (5-й или 6-й)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Время от момента размораживания до переноса эмбриона составляло от 2 до 4 ч. Одна или две жизнеспособные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переносились в полость матки пациентки. Среднее количество эмбрионов на перенос составило 1,1.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Клиническую беременность диагностировали по наличию плодного яйца в полости матки,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копчико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–теменному размеру плода 2—4 мм и регистрации сердцебиения при ультразвуковом исследовании на 4—5-й неделе после переноса эмбриона. Частота прогрессирующей клинической беременности определялась отношением общего числа клинических беременностей сроком 12 и более недель к общему числу переносов.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Статистический анализ. Статистический анализ был выполнен с использованием Пакета анализа программы MS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Excel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MicroSoft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, US). Для описания возраста пациенток использовались медиана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Ме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и квартили Q1 и Q3. Для сравнения возраста пациенток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испол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зовали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t-критерий Стьюдента. Для сравнения доли имплантации эмбрионов, а также наступления клинической, прогрессирующей клинической и многоплодной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lastRenderedPageBreak/>
        <w:t>беременности использовался критерий χ2. Значения p≤0,05 считали статистически значимым.</w:t>
      </w:r>
    </w:p>
    <w:p w:rsidR="00712858" w:rsidRPr="00712858" w:rsidRDefault="00712858" w:rsidP="00712858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  <w:t>Результаты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 результате проведения процедуры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какой-либо дегенерации эмбрионов не наблюдалось. В экспериментальной и контрольной группах все полученные клинические исходы не имели статистически значимых различий. Также внутри опытной и контрольной групп пациентки были разнесены на возрастные подгруппы: до 36 лет включительно и старше 36 лет. Внутри данных возрастных подгрупп между экспериментом и контролем также не наблюдалось статистически значимых различий. Характеристики пациенток каждой из групп и результаты исследования представлены в таблице.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jc w:val="center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noProof/>
          <w:color w:val="2D3033"/>
          <w:sz w:val="23"/>
          <w:szCs w:val="23"/>
          <w:lang w:eastAsia="ru-RU"/>
        </w:rPr>
        <w:drawing>
          <wp:inline distT="0" distB="0" distL="0" distR="0">
            <wp:extent cx="6860540" cy="6105525"/>
            <wp:effectExtent l="0" t="0" r="0" b="9525"/>
            <wp:docPr id="1" name="Рисунок 1" descr="https://lib.medvestnik.ru/apps/lib/assets/uploads/aig/2019/06/9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.medvestnik.ru/apps/lib/assets/uploads/aig/2019/06/9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58" w:rsidRPr="00712858" w:rsidRDefault="00712858" w:rsidP="00712858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  <w:lastRenderedPageBreak/>
        <w:t>Обсуждение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Частота имплантации в расчете на один перенос эмбриона в программах ЭКО человека варьирует от 8 до более чем 40%. Относительно низкие показатели имплантации эмбрионов в программах ЭКО, по крайней мере частично, могут быть связаны с нарушением процесса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До настоящего времени процесс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изучен не полностью.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Процесс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требует от эмбриона больших энергетических затрат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экспандирование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 и мобильности клеток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(выход за пределы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). Повторное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экспандирование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коллапсирование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может истощить энергетический резерв эмбриона ниже порогового уровня, который необходим для успешного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и/или дальнейшего развития.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предположительно, может увеличить вероятность имплантации за счет сохранения данного энергетического резерва, в связи с отсутствием потерь при неудачных попытках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Некоторые авторы в исследованиях на грызунах, наблюдая в условиях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vivo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низкую долю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экспандированных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при высокой доле успешного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выдвинули предположение, что механизм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vivo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может различаться. Это явление можно объяснить более высокой устойчивостью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у эмбрионов, полученных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В исследованиях с использованием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цейтраферной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фотосъемки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было показано, что высокая доля мышиных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вылупилась без предварительных циклов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экспандирования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коллапсирования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то есть без пульсаций. Пульсация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перед процессом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может быть артефактом или признаком затруднений, связанных с процессом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 причине разрыва межклеточных контактов клеток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трофэктодермы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утечки жидкости из бластоцели.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От 2,8 до 25%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человека вылупляются к 6 дню развития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Однако большая доля морфологически нормальных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испытывает затруднения с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хетчингом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а более половины из них не вылупляются даже спустя 8 дней культивирования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остаются иммобилизованными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траппинг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-феномен).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Существует вероятность того, что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 низкой жизнеспособностью не в состоянии вылупиться после истончения или перфорации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, поэтому может быть рекомендовано полное удаление блестящей оболочки.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Vajta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G.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соавт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[4] предположили, что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может приводить к увеличению имплантации эмбрионов по сравнению с другими видами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 первых исследованиях, посвященных влиянию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на клинические исходы, сравнивались результаты программ ЭКО после переноса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 удаленной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интактной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В 4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проспективных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рандомизированных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исследованиях был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lastRenderedPageBreak/>
        <w:t xml:space="preserve">проанализирован эффект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до процедуры переноса эмбриона, методом ферментативной обработки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проназой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или кислым раствором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Тироде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[8—11].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Все авторы сообщили о некоторых преимуществах в результативности программ ВРТ при использовании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методом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в особенности у пациенток с низким качеством полученных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(25 кейсов; 4,3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эмбриона на перенос) [11], пациенток с высоким риском развития синдрома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гиперстимуляции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яичников (11 кейсов; 1,0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эмбриона на перенос) [9] или выполненного на эмбрионах с задержкой развития (48 кейсов; 2,2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эмбриона на перенос) [8]. В исследовании по влиянию химического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у эмбрионов третьего дня развития не выявлено статистических различий по показателям клинической беременности и спонтанных абортов у пациенток младше 40 лет, проходящих первую попытку ЭКО (27 кейсов; 3,2 эмбриона на перенос), хотя у пациенток с плохим прогнозом старше 40 лет и/или имеющих две и более неудачные попытки ЭКО (30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кейсов; 3,9 эмбриона на перенос)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повышало долю клинической беременности [12].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Также в 2 ретроспективных исследованиях была произведена оценка влияния полного удаления и истончения/перфорации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на клинические исходы программ ЭКО.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Lan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K. [13] показал, что, у пациенток в свежих циклах стимуляции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после химического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на 5-й день (104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кейса; 2, 6 эмбриона на перенос), имплантируются с той же вероятностью, что и эмбрионы (104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кейса; 2,7 эмбриона на перенос) прошедшие процедуру лазерного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на стадии дробления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культивировавшиеся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до 5-го дня развития. В работе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K. сообщалось, что при переносе в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криоциклах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криоконсервированных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прошедших полное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при помощи лазера и механического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пипетирования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(57 кейсов; 1,5 эмбриона на перенос), значительно увеличивается доля клинической беременности и имплантации, по сравнению с эмбрионами, подвергшимися перфорации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при помощи кислого раствора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Тироде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(45 кейсов; 1,7 эмбриона на перенос) (67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против 42%, р = 0,014; 55 против 30%, р=0,001 соответственно), хотя различий в частоте наступления многоплодной беременности не наблюдалось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 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[14]. Процедуры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в обеих группах осуществлялись непосредственно после оттаивания замороженных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При анализе данных литературы не удалось найти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рандомизированных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контролируемых исследований, в которых бы сравнивались клинические исходы программ ЭКО при переносе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с механически удаленной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с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zp-интактным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 контролем.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 целом, вышеприведенные данные и доступные мета-анализы [15, 16], как правило, свидетельствуют 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бóльших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преимуществах процедуры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 сравнению с другими вариантами вспомогательного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хетчинга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Однако низкое число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lastRenderedPageBreak/>
        <w:t xml:space="preserve">кейсов в каждом исследовании и большое количество эмбрионов в расчете на один перенос, не вносят ясности в понимание необходимости проведения процедуры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размывают значимость этого фактора в результативности прог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softHyphen/>
        <w:t>рамм ЭКО.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Достаточно редкое использование полного удаления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эмбрионов в практике клиник ЭКО может быть объяснено опасениями специалистов в том, что эмбрионы без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могут оказаться более восприимчивыми во время проведения рутинных процедур. Потенциальные повреждения в результате механических травм, прикрепления к стеклянным и пластиковым поверхностям или потери защиты от инфекций могут рассматриваться как возможные недостатки. С другой стороны, по мнению некоторых авторов, эти аспекты не должны представлять собой актуальную проблему [4].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 работе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Ueno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S. [17], по исследованию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вылупления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адгезии к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фибронектину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скорости роста эмбрионов человека в условиях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было показано, что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подвергшиеся процедуре полного удаления </w:t>
      </w:r>
      <w:proofErr w:type="spellStart"/>
      <w:proofErr w:type="gram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,</w:t>
      </w:r>
      <w:proofErr w:type="gram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быстрее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адгезируются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к дну чашки и растут, по сравнению с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zp-интактными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или эмбрионами с частично разрушенной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Однако не стоит забывать, что условия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vitro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vivo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в которых может находиться эмбрион, значительно отличаются друг от друга, что может оказывать существенное влияние на экспансию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бластоцисты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ее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хетчинг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адгезию и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нидацию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shd w:val="clear" w:color="auto" w:fill="FFFFFF"/>
        <w:spacing w:after="24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Данные настоящего исследования согласуются и дополняют вышеприведенные результаты, полученные зарубежными коллегами.</w:t>
      </w:r>
    </w:p>
    <w:p w:rsidR="00712858" w:rsidRPr="00712858" w:rsidRDefault="00712858" w:rsidP="00712858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33"/>
          <w:szCs w:val="33"/>
          <w:lang w:eastAsia="ru-RU"/>
        </w:rPr>
        <w:t>Выводы</w:t>
      </w:r>
    </w:p>
    <w:p w:rsidR="00712858" w:rsidRPr="00712858" w:rsidRDefault="00712858" w:rsidP="00712858">
      <w:pPr>
        <w:shd w:val="clear" w:color="auto" w:fill="FFFFFF"/>
        <w:spacing w:after="0" w:line="343" w:lineRule="atLeast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В результате проведенного исследования установлено, что полное механическое удаление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zp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у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витрифицированных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/оттаянных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бластоцист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человека за 1-3 ч до переноса эмбриона не оказывает какого-либо существенного влияния на клинические исходы программ ЭКО. Все оцененные показатели (частота имплантации эмбрионов, частота наступления клинической и прогрессирующей клинической беременности, частота многоплодной и внематочной беременности) были сопоставимы в опытной и контрольной группах и не имели статистически значимых различий, включая подгруппы пациенток до и после 36 лет.</w:t>
      </w:r>
    </w:p>
    <w:p w:rsidR="00712858" w:rsidRPr="00712858" w:rsidRDefault="00712858" w:rsidP="00712858">
      <w:pPr>
        <w:shd w:val="clear" w:color="auto" w:fill="FFFFFF"/>
        <w:spacing w:after="300" w:line="288" w:lineRule="atLeast"/>
        <w:outlineLvl w:val="2"/>
        <w:rPr>
          <w:rFonts w:ascii="Segoe UI" w:eastAsia="Times New Roman" w:hAnsi="Segoe UI" w:cs="Segoe UI"/>
          <w:color w:val="2D3033"/>
          <w:sz w:val="29"/>
          <w:szCs w:val="29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9"/>
          <w:szCs w:val="29"/>
          <w:lang w:eastAsia="ru-RU"/>
        </w:rPr>
        <w:t>Список литературы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Fujiwara K., Sano D.,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Seita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Y., Inomata T., Ito J.,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Kashiwazaki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N. Ethylene glycol-supplemented calcium-free media improve zona penetration of vitrified rat oocytes by sperm cells.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J.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Dev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2010; 56(1): 169-75. https://doi.org/10.1262/jrd.09-107H.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Fuchiwaki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Horiuchi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T., Murakami T.,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Kinutani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 et al. Re-cryopreservation by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vitrification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of human blastocysts developed from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frozencleaved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lastRenderedPageBreak/>
        <w:t xml:space="preserve">embryos: a report of 15 cycles.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J.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Mammalian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Ova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Res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2007; 24(1): 23-8. https://doi.org/10.1274/jmor.24.23.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Martins W.P., Rocha I.A.,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Ferriani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R.A.,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Nastri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C.O. Assisted hatching of human embryos: a systematic review and meta-analysis of randomized controlled trials.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Hum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Update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2011; 17(4): 438-53. https://doi.org/10.1093/humupd/dmr012.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Vajta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G., Rienzi L.,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Bavister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B.D. Zona-free embryo culture: is it a viable option to improve pregnancy rates?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Biomed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Online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2010; 21: 17-25. https://doi.org/10.1016/j.rbmo.2010.03.014.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Fuchiwaki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Horiuchi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T., Murakami T.,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Kinutani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Kinutani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 Zona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removal and vitrified blastocyst transfer outcome: a preliminary study.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Biomed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Online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2007; 15(1): 68-75. https://doi.org/10.1016/S1472-6483(10)60694-3.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Yakovenko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S.,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Apryshko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V.,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Yutkin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E.,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Troshina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Simonenko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E. Technique and effectiveness of intracytoplasmic morphologically selected sperm injection (IMSI) based on HMC (Hoffman modulation contrast).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Fertil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Steril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. 2009; 92</w:t>
      </w:r>
      <w:proofErr w:type="gram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( 3</w:t>
      </w:r>
      <w:proofErr w:type="gram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, Suppl.): S162. (Scientific Abstracts from the 2009 Annual Meeting of the American Society for Reproductive Medicine.)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Yakovenko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S. IMSI Hoffman modulation. In: International Workshop on Male Infertility - IMSI: new advances.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June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 24-27, 2010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Rome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Italy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Jelinkova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L.,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Pavelkova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J.,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Strehler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E., Paulus W,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Zivny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J.,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Sterzik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 Improved implantation rate after chemical removal of the zona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Fertil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Steril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2003; 79(6): 1299-303. https://doi.org/10.1016/S0015-0282(03)00260-7.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Kinget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Nijs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M., Cox A.M., Janssen M., Jacobs P.,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Bosmans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E. et al. A novel approach for patients at risk for ovarian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hyperstimulation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syndrome, elective transfer of a single zona-free blastocyst on day 5.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Biomed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Online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2002; 4: 51-5. https://doi.org/10.1016/S1472-6483(10)61915-3.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Isik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A.Z.,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Vicdan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Kaba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A.,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Dagli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G. Comparison of zona manipulated and zona intact blastocyst transfers, a prospective randomized trial. </w:t>
      </w:r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J.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Assist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Genet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2000; 17(3): 135-9. https://doi.org/10.1023/A:1009410020580.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Urman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B.,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Balaban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B.,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Alatas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C.,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Aksoy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S.,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Mumcu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A.,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Isiklar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A. Zona-intact versus zona-free blastocyst transfer, a prospective, randomized study.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Fertil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Steril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2002; 78(2): 392-6. https://doi.org/10.1016/S0015-0282(02)03238-7.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Mansour R.T., Rhodes C.A.,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Aboulghar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M.A.,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Serour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G.I., Kamal A. Transfer of zona-free embryos improves outcome in poor prognosis patients, a prospective randomized controlled study.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Hum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2000; 15(5): 1061-4. https://doi.org/10.1093/humrep/15.5.1061.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Lan K.C., Huang F.J., Lin Y.C., Kung F.T., Chang S.Y. Zona-free versus laser zona-assisted hatching blastocyst transfer, a comparison of outcomes.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Fertil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Steril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2009; 91(5): 1959-62. https://doi.org/10.1016/j.fertnstert.2008.01.068.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Fuchiwaki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Hiraoka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Horiuchi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T., Murakami T.,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Kinutani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 et al. Zona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removal and vitrified blastocyst transfer outcome, a preliminary study.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Biomed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Online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2007; 15(1): 68-75.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Carney S.K., Das S., Blake D., Farquhar C.,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Seif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M.M., </w:t>
      </w:r>
      <w:proofErr w:type="gram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Nelson</w:t>
      </w:r>
      <w:proofErr w:type="gram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L. Assisted hatching on assisted conception in vitro fertilization (IVF) and intracytoplasmic sperm injection (ICSI). Cochrane Database Syst. Rev. 2012; (12): CD001894. https://doi.org/10.1002/14651858.CD001894.pub5.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lastRenderedPageBreak/>
        <w:t xml:space="preserve">Li D., Yang D.L., An J., Jiao J., Zhou Y.M., Wu Q.J. et al. Effect of assisted hatching on pregnancy outcomes, a systematic review and meta-analysis of randomized controlled trials.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Sci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2016; 6: 31228. https://doi.org/10.1038/srep31228.</w:t>
      </w:r>
    </w:p>
    <w:p w:rsidR="00712858" w:rsidRPr="00712858" w:rsidRDefault="00712858" w:rsidP="00712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</w:pPr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Ueno S.,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Ezoe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Yabuuchi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A., Uchiyama K.,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Okimura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T.,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Okuno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T. et al. Complete zona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>pellucida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val="en-US" w:eastAsia="ru-RU"/>
        </w:rPr>
        <w:t xml:space="preserve"> removal from vitrified-warmed human blastocysts facilitates earlier in-vitro attachment and outgrowth.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Reprod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Biomed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 xml:space="preserve">. </w:t>
      </w:r>
      <w:proofErr w:type="spellStart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Online</w:t>
      </w:r>
      <w:proofErr w:type="spellEnd"/>
      <w:r w:rsidRPr="00712858">
        <w:rPr>
          <w:rFonts w:ascii="Segoe UI" w:eastAsia="Times New Roman" w:hAnsi="Segoe UI" w:cs="Segoe UI"/>
          <w:color w:val="2D3033"/>
          <w:sz w:val="23"/>
          <w:szCs w:val="23"/>
          <w:lang w:eastAsia="ru-RU"/>
        </w:rPr>
        <w:t>. 2016; 33(2): 140-8. https://doi.org/10.1016/j.rbmo.2016.05.007.</w:t>
      </w:r>
    </w:p>
    <w:p w:rsidR="0015466B" w:rsidRDefault="0015466B"/>
    <w:sectPr w:rsidR="0015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49F"/>
    <w:multiLevelType w:val="multilevel"/>
    <w:tmpl w:val="C9D4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8"/>
    <w:rsid w:val="0015466B"/>
    <w:rsid w:val="00712858"/>
    <w:rsid w:val="00CB65FA"/>
    <w:rsid w:val="00D04422"/>
    <w:rsid w:val="00D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8948-C2C1-426E-B536-979DC29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counter">
    <w:name w:val="views-counter"/>
    <w:basedOn w:val="a0"/>
    <w:rsid w:val="00712858"/>
  </w:style>
  <w:style w:type="paragraph" w:customStyle="1" w:styleId="base">
    <w:name w:val="base"/>
    <w:basedOn w:val="a"/>
    <w:rsid w:val="0071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8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2023-07-30T16:53:00Z</dcterms:created>
  <dcterms:modified xsi:type="dcterms:W3CDTF">2023-07-30T16:53:00Z</dcterms:modified>
</cp:coreProperties>
</file>