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9F" w:rsidRDefault="00F3169F" w:rsidP="00AA03A0">
      <w:pPr>
        <w:autoSpaceDE w:val="0"/>
        <w:autoSpaceDN w:val="0"/>
        <w:adjustRightInd w:val="0"/>
        <w:spacing w:after="0" w:line="240" w:lineRule="auto"/>
        <w:rPr>
          <w:rFonts w:cs="AdvOT863180fb"/>
          <w:color w:val="000000"/>
          <w:sz w:val="27"/>
          <w:szCs w:val="27"/>
        </w:rPr>
      </w:pPr>
    </w:p>
    <w:p w:rsidR="00AA03A0" w:rsidRPr="00AA03A0" w:rsidRDefault="00AA03A0" w:rsidP="00AA03A0">
      <w:pPr>
        <w:autoSpaceDE w:val="0"/>
        <w:autoSpaceDN w:val="0"/>
        <w:adjustRightInd w:val="0"/>
        <w:spacing w:after="0" w:line="240" w:lineRule="auto"/>
        <w:rPr>
          <w:rFonts w:ascii="AdvOT863180fb" w:hAnsi="AdvOT863180fb" w:cs="AdvOT863180fb"/>
          <w:color w:val="000000"/>
          <w:sz w:val="27"/>
          <w:szCs w:val="27"/>
          <w:lang w:val="en-US"/>
        </w:rPr>
      </w:pPr>
      <w:r w:rsidRPr="00AA03A0">
        <w:rPr>
          <w:rFonts w:ascii="AdvOT863180fb" w:hAnsi="AdvOT863180fb" w:cs="AdvOT863180fb"/>
          <w:color w:val="000000"/>
          <w:sz w:val="27"/>
          <w:szCs w:val="27"/>
          <w:lang w:val="en-US"/>
        </w:rPr>
        <w:t xml:space="preserve">Historical antecedents to the philosophy of Paul </w:t>
      </w:r>
      <w:proofErr w:type="spellStart"/>
      <w:r w:rsidRPr="00AA03A0">
        <w:rPr>
          <w:rFonts w:ascii="AdvOT863180fb" w:hAnsi="AdvOT863180fb" w:cs="AdvOT863180fb"/>
          <w:color w:val="000000"/>
          <w:sz w:val="27"/>
          <w:szCs w:val="27"/>
          <w:lang w:val="en-US"/>
        </w:rPr>
        <w:t>Feyerabend</w:t>
      </w:r>
      <w:proofErr w:type="spellEnd"/>
    </w:p>
    <w:p w:rsidR="00AA03A0" w:rsidRPr="00AA03A0" w:rsidRDefault="00AA03A0" w:rsidP="00AA03A0">
      <w:pPr>
        <w:autoSpaceDE w:val="0"/>
        <w:autoSpaceDN w:val="0"/>
        <w:adjustRightInd w:val="0"/>
        <w:spacing w:after="0" w:line="240" w:lineRule="auto"/>
        <w:rPr>
          <w:rFonts w:ascii="AdvOT863180fb" w:hAnsi="AdvOT863180fb" w:cs="AdvOT863180fb"/>
          <w:color w:val="000000"/>
          <w:sz w:val="21"/>
          <w:szCs w:val="21"/>
          <w:lang w:val="en-US"/>
        </w:rPr>
      </w:pPr>
      <w:r w:rsidRPr="00AA03A0">
        <w:rPr>
          <w:rFonts w:ascii="AdvOT863180fb" w:hAnsi="AdvOT863180fb" w:cs="AdvOT863180fb"/>
          <w:color w:val="000000"/>
          <w:sz w:val="21"/>
          <w:szCs w:val="21"/>
          <w:lang w:val="en-US"/>
        </w:rPr>
        <w:t xml:space="preserve">Gonzalo </w:t>
      </w:r>
      <w:proofErr w:type="spellStart"/>
      <w:r w:rsidRPr="00AA03A0">
        <w:rPr>
          <w:rFonts w:ascii="AdvOT863180fb" w:hAnsi="AdvOT863180fb" w:cs="AdvOT863180fb"/>
          <w:color w:val="000000"/>
          <w:sz w:val="21"/>
          <w:szCs w:val="21"/>
          <w:lang w:val="en-US"/>
        </w:rPr>
        <w:t>Munévar</w:t>
      </w:r>
      <w:proofErr w:type="spellEnd"/>
    </w:p>
    <w:p w:rsidR="00AA03A0" w:rsidRPr="00AA03A0" w:rsidRDefault="00AA03A0" w:rsidP="00AA03A0">
      <w:pPr>
        <w:autoSpaceDE w:val="0"/>
        <w:autoSpaceDN w:val="0"/>
        <w:adjustRightInd w:val="0"/>
        <w:spacing w:after="0" w:line="240" w:lineRule="auto"/>
        <w:rPr>
          <w:rFonts w:ascii="AdvOTb92eb7df.I" w:hAnsi="AdvOTb92eb7df.I" w:cs="AdvOTb92eb7df.I"/>
          <w:color w:val="000000"/>
          <w:sz w:val="13"/>
          <w:szCs w:val="13"/>
          <w:lang w:val="en-US"/>
        </w:rPr>
      </w:pPr>
      <w:r w:rsidRPr="00AA03A0">
        <w:rPr>
          <w:rFonts w:ascii="AdvOTb92eb7df.I" w:hAnsi="AdvOTb92eb7df.I" w:cs="AdvOTb92eb7df.I"/>
          <w:color w:val="000000"/>
          <w:sz w:val="13"/>
          <w:szCs w:val="13"/>
          <w:lang w:val="en-US"/>
        </w:rPr>
        <w:t>Lawrence Technological University, United States</w:t>
      </w:r>
    </w:p>
    <w:p w:rsidR="00AA03A0" w:rsidRPr="00AA03A0" w:rsidRDefault="00AA03A0" w:rsidP="00AA03A0">
      <w:pPr>
        <w:autoSpaceDE w:val="0"/>
        <w:autoSpaceDN w:val="0"/>
        <w:adjustRightInd w:val="0"/>
        <w:spacing w:after="0" w:line="240" w:lineRule="auto"/>
        <w:rPr>
          <w:rFonts w:ascii="AdvOTc4d0b532" w:hAnsi="AdvOTc4d0b532" w:cs="AdvOTc4d0b532"/>
          <w:color w:val="000000"/>
          <w:sz w:val="18"/>
          <w:szCs w:val="18"/>
          <w:lang w:val="en-US"/>
        </w:rPr>
      </w:pPr>
      <w:proofErr w:type="gramStart"/>
      <w:r w:rsidRPr="00AA03A0">
        <w:rPr>
          <w:rFonts w:ascii="AdvOTc4d0b532" w:hAnsi="AdvOTc4d0b532" w:cs="AdvOTc4d0b532"/>
          <w:color w:val="000000"/>
          <w:sz w:val="18"/>
          <w:szCs w:val="18"/>
          <w:lang w:val="en-US"/>
        </w:rPr>
        <w:t>a</w:t>
      </w:r>
      <w:proofErr w:type="gramEnd"/>
      <w:r w:rsidRPr="00AA03A0">
        <w:rPr>
          <w:rFonts w:ascii="AdvOTc4d0b532" w:hAnsi="AdvOTc4d0b532" w:cs="AdvOTc4d0b532"/>
          <w:color w:val="000000"/>
          <w:sz w:val="18"/>
          <w:szCs w:val="18"/>
          <w:lang w:val="en-US"/>
        </w:rPr>
        <w:t xml:space="preserve"> r t </w:t>
      </w:r>
      <w:proofErr w:type="spellStart"/>
      <w:r w:rsidRPr="00AA03A0">
        <w:rPr>
          <w:rFonts w:ascii="AdvOTc4d0b532" w:hAnsi="AdvOTc4d0b532" w:cs="AdvOTc4d0b532"/>
          <w:color w:val="000000"/>
          <w:sz w:val="18"/>
          <w:szCs w:val="18"/>
          <w:lang w:val="en-US"/>
        </w:rPr>
        <w:t>i</w:t>
      </w:r>
      <w:proofErr w:type="spellEnd"/>
      <w:r w:rsidRPr="00AA03A0">
        <w:rPr>
          <w:rFonts w:ascii="AdvOTc4d0b532" w:hAnsi="AdvOTc4d0b532" w:cs="AdvOTc4d0b532"/>
          <w:color w:val="000000"/>
          <w:sz w:val="18"/>
          <w:szCs w:val="18"/>
          <w:lang w:val="en-US"/>
        </w:rPr>
        <w:t xml:space="preserve"> c l e </w:t>
      </w:r>
      <w:proofErr w:type="spellStart"/>
      <w:r w:rsidRPr="00AA03A0">
        <w:rPr>
          <w:rFonts w:ascii="AdvOTc4d0b532" w:hAnsi="AdvOTc4d0b532" w:cs="AdvOTc4d0b532"/>
          <w:color w:val="000000"/>
          <w:sz w:val="18"/>
          <w:szCs w:val="18"/>
          <w:lang w:val="en-US"/>
        </w:rPr>
        <w:t>i</w:t>
      </w:r>
      <w:proofErr w:type="spellEnd"/>
      <w:r w:rsidRPr="00AA03A0">
        <w:rPr>
          <w:rFonts w:ascii="AdvOTc4d0b532" w:hAnsi="AdvOTc4d0b532" w:cs="AdvOTc4d0b532"/>
          <w:color w:val="000000"/>
          <w:sz w:val="18"/>
          <w:szCs w:val="18"/>
          <w:lang w:val="en-US"/>
        </w:rPr>
        <w:t xml:space="preserve"> n f o</w:t>
      </w:r>
    </w:p>
    <w:p w:rsidR="00AA03A0" w:rsidRPr="00AA03A0" w:rsidRDefault="00AA03A0" w:rsidP="00AA03A0">
      <w:pPr>
        <w:autoSpaceDE w:val="0"/>
        <w:autoSpaceDN w:val="0"/>
        <w:adjustRightInd w:val="0"/>
        <w:spacing w:after="0" w:line="240" w:lineRule="auto"/>
        <w:rPr>
          <w:rFonts w:ascii="AdvOTb92eb7df.I" w:hAnsi="AdvOTb92eb7df.I" w:cs="AdvOTb92eb7df.I"/>
          <w:color w:val="000000"/>
          <w:sz w:val="13"/>
          <w:szCs w:val="13"/>
          <w:lang w:val="en-US"/>
        </w:rPr>
      </w:pPr>
      <w:r w:rsidRPr="00AA03A0">
        <w:rPr>
          <w:rFonts w:ascii="AdvOTb92eb7df.I" w:hAnsi="AdvOTb92eb7df.I" w:cs="AdvOTb92eb7df.I"/>
          <w:color w:val="000000"/>
          <w:sz w:val="13"/>
          <w:szCs w:val="13"/>
          <w:lang w:val="en-US"/>
        </w:rPr>
        <w:t>Article history:</w:t>
      </w:r>
    </w:p>
    <w:p w:rsidR="00AA03A0" w:rsidRPr="00AA03A0" w:rsidRDefault="00AA03A0" w:rsidP="00AA03A0">
      <w:pPr>
        <w:autoSpaceDE w:val="0"/>
        <w:autoSpaceDN w:val="0"/>
        <w:adjustRightInd w:val="0"/>
        <w:spacing w:after="0" w:line="240" w:lineRule="auto"/>
        <w:rPr>
          <w:rFonts w:ascii="AdvOT863180fb" w:hAnsi="AdvOT863180fb" w:cs="AdvOT863180fb"/>
          <w:color w:val="000000"/>
          <w:sz w:val="13"/>
          <w:szCs w:val="13"/>
          <w:lang w:val="en-US"/>
        </w:rPr>
      </w:pPr>
      <w:r w:rsidRPr="00AA03A0">
        <w:rPr>
          <w:rFonts w:ascii="AdvOT863180fb" w:hAnsi="AdvOT863180fb" w:cs="AdvOT863180fb"/>
          <w:color w:val="000000"/>
          <w:sz w:val="13"/>
          <w:szCs w:val="13"/>
          <w:lang w:val="en-US"/>
        </w:rPr>
        <w:t>Available online 28 December 2015</w:t>
      </w:r>
    </w:p>
    <w:p w:rsidR="00AA03A0" w:rsidRPr="00AA03A0" w:rsidRDefault="00AA03A0" w:rsidP="00AA03A0">
      <w:pPr>
        <w:autoSpaceDE w:val="0"/>
        <w:autoSpaceDN w:val="0"/>
        <w:adjustRightInd w:val="0"/>
        <w:spacing w:after="0" w:line="240" w:lineRule="auto"/>
        <w:rPr>
          <w:rFonts w:ascii="AdvOTb92eb7df.I" w:hAnsi="AdvOTb92eb7df.I" w:cs="AdvOTb92eb7df.I"/>
          <w:color w:val="000000"/>
          <w:sz w:val="13"/>
          <w:szCs w:val="13"/>
          <w:lang w:val="en-US"/>
        </w:rPr>
      </w:pPr>
      <w:r w:rsidRPr="00AA03A0">
        <w:rPr>
          <w:rFonts w:ascii="AdvOTb92eb7df.I" w:hAnsi="AdvOTb92eb7df.I" w:cs="AdvOTb92eb7df.I"/>
          <w:color w:val="000000"/>
          <w:sz w:val="13"/>
          <w:szCs w:val="13"/>
          <w:lang w:val="en-US"/>
        </w:rPr>
        <w:t>Keywords:</w:t>
      </w:r>
    </w:p>
    <w:p w:rsidR="00AA03A0" w:rsidRPr="00AA03A0" w:rsidRDefault="00AA03A0" w:rsidP="00AA03A0">
      <w:pPr>
        <w:autoSpaceDE w:val="0"/>
        <w:autoSpaceDN w:val="0"/>
        <w:adjustRightInd w:val="0"/>
        <w:spacing w:after="0" w:line="240" w:lineRule="auto"/>
        <w:rPr>
          <w:rFonts w:ascii="AdvOT863180fb" w:hAnsi="AdvOT863180fb" w:cs="AdvOT863180fb"/>
          <w:color w:val="000000"/>
          <w:sz w:val="13"/>
          <w:szCs w:val="13"/>
          <w:lang w:val="en-US"/>
        </w:rPr>
      </w:pPr>
      <w:proofErr w:type="spellStart"/>
      <w:r w:rsidRPr="00AA03A0">
        <w:rPr>
          <w:rFonts w:ascii="AdvOT863180fb" w:hAnsi="AdvOT863180fb" w:cs="AdvOT863180fb"/>
          <w:color w:val="000000"/>
          <w:sz w:val="13"/>
          <w:szCs w:val="13"/>
          <w:lang w:val="en-US"/>
        </w:rPr>
        <w:t>Feyerabend</w:t>
      </w:r>
      <w:proofErr w:type="spellEnd"/>
      <w:r w:rsidRPr="00AA03A0">
        <w:rPr>
          <w:rFonts w:ascii="AdvOT863180fb" w:hAnsi="AdvOT863180fb" w:cs="AdvOT863180fb"/>
          <w:color w:val="000000"/>
          <w:sz w:val="13"/>
          <w:szCs w:val="13"/>
          <w:lang w:val="en-US"/>
        </w:rPr>
        <w:t>;</w:t>
      </w:r>
    </w:p>
    <w:p w:rsidR="00AA03A0" w:rsidRPr="00AA03A0" w:rsidRDefault="00AA03A0" w:rsidP="00AA03A0">
      <w:pPr>
        <w:autoSpaceDE w:val="0"/>
        <w:autoSpaceDN w:val="0"/>
        <w:adjustRightInd w:val="0"/>
        <w:spacing w:after="0" w:line="240" w:lineRule="auto"/>
        <w:rPr>
          <w:rFonts w:ascii="AdvOT863180fb" w:hAnsi="AdvOT863180fb" w:cs="AdvOT863180fb"/>
          <w:color w:val="000000"/>
          <w:sz w:val="13"/>
          <w:szCs w:val="13"/>
          <w:lang w:val="en-US"/>
        </w:rPr>
      </w:pPr>
      <w:r w:rsidRPr="00AA03A0">
        <w:rPr>
          <w:rFonts w:ascii="AdvOT863180fb" w:hAnsi="AdvOT863180fb" w:cs="AdvOT863180fb"/>
          <w:color w:val="000000"/>
          <w:sz w:val="13"/>
          <w:szCs w:val="13"/>
          <w:lang w:val="en-US"/>
        </w:rPr>
        <w:t>Galileo;</w:t>
      </w:r>
    </w:p>
    <w:p w:rsidR="00AA03A0" w:rsidRPr="00AA03A0" w:rsidRDefault="00AA03A0" w:rsidP="00AA03A0">
      <w:pPr>
        <w:autoSpaceDE w:val="0"/>
        <w:autoSpaceDN w:val="0"/>
        <w:adjustRightInd w:val="0"/>
        <w:spacing w:after="0" w:line="240" w:lineRule="auto"/>
        <w:rPr>
          <w:rFonts w:ascii="AdvOT863180fb" w:hAnsi="AdvOT863180fb" w:cs="AdvOT863180fb"/>
          <w:color w:val="000000"/>
          <w:sz w:val="13"/>
          <w:szCs w:val="13"/>
          <w:lang w:val="en-US"/>
        </w:rPr>
      </w:pPr>
      <w:r w:rsidRPr="00AA03A0">
        <w:rPr>
          <w:rFonts w:ascii="AdvOT863180fb" w:hAnsi="AdvOT863180fb" w:cs="AdvOT863180fb"/>
          <w:color w:val="000000"/>
          <w:sz w:val="13"/>
          <w:szCs w:val="13"/>
          <w:lang w:val="en-US"/>
        </w:rPr>
        <w:t>Mill;</w:t>
      </w:r>
    </w:p>
    <w:p w:rsidR="00AA03A0" w:rsidRPr="00AA03A0" w:rsidRDefault="00AA03A0" w:rsidP="00AA03A0">
      <w:pPr>
        <w:autoSpaceDE w:val="0"/>
        <w:autoSpaceDN w:val="0"/>
        <w:adjustRightInd w:val="0"/>
        <w:spacing w:after="0" w:line="240" w:lineRule="auto"/>
        <w:rPr>
          <w:rFonts w:ascii="AdvOT863180fb" w:hAnsi="AdvOT863180fb" w:cs="AdvOT863180fb"/>
          <w:color w:val="000000"/>
          <w:sz w:val="13"/>
          <w:szCs w:val="13"/>
          <w:lang w:val="en-US"/>
        </w:rPr>
      </w:pPr>
      <w:r w:rsidRPr="00AA03A0">
        <w:rPr>
          <w:rFonts w:ascii="AdvOT863180fb" w:hAnsi="AdvOT863180fb" w:cs="AdvOT863180fb"/>
          <w:color w:val="000000"/>
          <w:sz w:val="13"/>
          <w:szCs w:val="13"/>
          <w:lang w:val="en-US"/>
        </w:rPr>
        <w:t>Aristotle;</w:t>
      </w:r>
    </w:p>
    <w:p w:rsidR="00AA03A0" w:rsidRPr="00AA03A0" w:rsidRDefault="00AA03A0" w:rsidP="00AA03A0">
      <w:pPr>
        <w:autoSpaceDE w:val="0"/>
        <w:autoSpaceDN w:val="0"/>
        <w:adjustRightInd w:val="0"/>
        <w:spacing w:after="0" w:line="240" w:lineRule="auto"/>
        <w:rPr>
          <w:rFonts w:ascii="AdvOT863180fb" w:hAnsi="AdvOT863180fb" w:cs="AdvOT863180fb"/>
          <w:color w:val="000000"/>
          <w:sz w:val="13"/>
          <w:szCs w:val="13"/>
          <w:lang w:val="en-US"/>
        </w:rPr>
      </w:pPr>
      <w:r w:rsidRPr="00AA03A0">
        <w:rPr>
          <w:rFonts w:ascii="AdvOT863180fb" w:hAnsi="AdvOT863180fb" w:cs="AdvOT863180fb"/>
          <w:color w:val="000000"/>
          <w:sz w:val="13"/>
          <w:szCs w:val="13"/>
          <w:lang w:val="en-US"/>
        </w:rPr>
        <w:t>Plato;</w:t>
      </w:r>
    </w:p>
    <w:p w:rsidR="00AA03A0" w:rsidRPr="00AA03A0" w:rsidRDefault="00AA03A0" w:rsidP="00AA03A0">
      <w:pPr>
        <w:autoSpaceDE w:val="0"/>
        <w:autoSpaceDN w:val="0"/>
        <w:adjustRightInd w:val="0"/>
        <w:spacing w:after="0" w:line="240" w:lineRule="auto"/>
        <w:rPr>
          <w:rFonts w:ascii="AdvOT863180fb" w:hAnsi="AdvOT863180fb" w:cs="AdvOT863180fb"/>
          <w:color w:val="000000"/>
          <w:sz w:val="13"/>
          <w:szCs w:val="13"/>
          <w:lang w:val="en-US"/>
        </w:rPr>
      </w:pPr>
      <w:r w:rsidRPr="00AA03A0">
        <w:rPr>
          <w:rFonts w:ascii="AdvOT863180fb" w:hAnsi="AdvOT863180fb" w:cs="AdvOT863180fb"/>
          <w:color w:val="000000"/>
          <w:sz w:val="13"/>
          <w:szCs w:val="13"/>
          <w:lang w:val="en-US"/>
        </w:rPr>
        <w:t>Machiavelli</w:t>
      </w:r>
    </w:p>
    <w:p w:rsidR="00AA03A0" w:rsidRPr="00AA03A0" w:rsidRDefault="00AA03A0" w:rsidP="00AA03A0">
      <w:pPr>
        <w:autoSpaceDE w:val="0"/>
        <w:autoSpaceDN w:val="0"/>
        <w:adjustRightInd w:val="0"/>
        <w:spacing w:after="0" w:line="240" w:lineRule="auto"/>
        <w:rPr>
          <w:rFonts w:ascii="AdvOTc4d0b532" w:hAnsi="AdvOTc4d0b532" w:cs="AdvOTc4d0b532"/>
          <w:color w:val="000000"/>
          <w:sz w:val="18"/>
          <w:szCs w:val="18"/>
          <w:lang w:val="en-US"/>
        </w:rPr>
      </w:pPr>
      <w:proofErr w:type="gramStart"/>
      <w:r w:rsidRPr="00AA03A0">
        <w:rPr>
          <w:rFonts w:ascii="AdvOTc4d0b532" w:hAnsi="AdvOTc4d0b532" w:cs="AdvOTc4d0b532"/>
          <w:color w:val="000000"/>
          <w:sz w:val="18"/>
          <w:szCs w:val="18"/>
          <w:lang w:val="en-US"/>
        </w:rPr>
        <w:t>a</w:t>
      </w:r>
      <w:proofErr w:type="gramEnd"/>
      <w:r w:rsidRPr="00AA03A0">
        <w:rPr>
          <w:rFonts w:ascii="AdvOTc4d0b532" w:hAnsi="AdvOTc4d0b532" w:cs="AdvOTc4d0b532"/>
          <w:color w:val="000000"/>
          <w:sz w:val="18"/>
          <w:szCs w:val="18"/>
          <w:lang w:val="en-US"/>
        </w:rPr>
        <w:t xml:space="preserve"> b s t r a c t</w:t>
      </w:r>
    </w:p>
    <w:p w:rsidR="00AA03A0" w:rsidRPr="007C6D2D" w:rsidRDefault="00AA03A0" w:rsidP="00AA03A0">
      <w:pPr>
        <w:autoSpaceDE w:val="0"/>
        <w:autoSpaceDN w:val="0"/>
        <w:adjustRightInd w:val="0"/>
        <w:spacing w:after="0" w:line="240" w:lineRule="auto"/>
        <w:rPr>
          <w:rFonts w:ascii="AdvOT863180fb" w:hAnsi="AdvOT863180fb" w:cs="AdvOT863180fb"/>
          <w:color w:val="000000"/>
          <w:sz w:val="24"/>
          <w:szCs w:val="24"/>
          <w:lang w:val="en-US"/>
        </w:rPr>
      </w:pPr>
      <w:r w:rsidRPr="007C6D2D">
        <w:rPr>
          <w:rFonts w:ascii="AdvOT863180fb" w:hAnsi="AdvOT863180fb" w:cs="AdvOT863180fb"/>
          <w:color w:val="000000"/>
          <w:sz w:val="24"/>
          <w:szCs w:val="24"/>
          <w:lang w:val="en-US"/>
        </w:rPr>
        <w:t xml:space="preserve">Paul </w:t>
      </w:r>
      <w:proofErr w:type="spellStart"/>
      <w:r w:rsidRPr="007C6D2D">
        <w:rPr>
          <w:rFonts w:ascii="AdvOT863180fb" w:hAnsi="AdvOT863180fb" w:cs="AdvOT863180fb"/>
          <w:color w:val="000000"/>
          <w:sz w:val="24"/>
          <w:szCs w:val="24"/>
          <w:lang w:val="en-US"/>
        </w:rPr>
        <w:t>Feyerabend</w:t>
      </w:r>
      <w:proofErr w:type="spellEnd"/>
      <w:r w:rsidRPr="007C6D2D">
        <w:rPr>
          <w:rFonts w:ascii="AdvOT863180fb" w:hAnsi="AdvOT863180fb" w:cs="AdvOT863180fb"/>
          <w:color w:val="000000"/>
          <w:sz w:val="24"/>
          <w:szCs w:val="24"/>
          <w:lang w:val="en-US"/>
        </w:rPr>
        <w:t xml:space="preserve"> has been considered a very radical philosopher of science for proposing that we may</w:t>
      </w:r>
    </w:p>
    <w:p w:rsidR="00AA03A0" w:rsidRPr="007C6D2D" w:rsidRDefault="00AA03A0" w:rsidP="00AA03A0">
      <w:pPr>
        <w:autoSpaceDE w:val="0"/>
        <w:autoSpaceDN w:val="0"/>
        <w:adjustRightInd w:val="0"/>
        <w:spacing w:after="0" w:line="240" w:lineRule="auto"/>
        <w:rPr>
          <w:rFonts w:ascii="AdvOT863180fb" w:hAnsi="AdvOT863180fb" w:cs="AdvOT863180fb"/>
          <w:color w:val="000000"/>
          <w:sz w:val="24"/>
          <w:szCs w:val="24"/>
          <w:lang w:val="en-US"/>
        </w:rPr>
      </w:pPr>
      <w:proofErr w:type="gramStart"/>
      <w:r w:rsidRPr="007C6D2D">
        <w:rPr>
          <w:rFonts w:ascii="AdvOT863180fb" w:hAnsi="AdvOT863180fb" w:cs="AdvOT863180fb"/>
          <w:color w:val="000000"/>
          <w:sz w:val="24"/>
          <w:szCs w:val="24"/>
          <w:lang w:val="en-US"/>
        </w:rPr>
        <w:t>advance</w:t>
      </w:r>
      <w:proofErr w:type="gramEnd"/>
      <w:r w:rsidRPr="007C6D2D">
        <w:rPr>
          <w:rFonts w:ascii="AdvOT863180fb" w:hAnsi="AdvOT863180fb" w:cs="AdvOT863180fb"/>
          <w:color w:val="000000"/>
          <w:sz w:val="24"/>
          <w:szCs w:val="24"/>
          <w:lang w:val="en-US"/>
        </w:rPr>
        <w:t xml:space="preserve"> hypotheses contrary to well-con</w:t>
      </w:r>
      <w:r w:rsidRPr="007C6D2D">
        <w:rPr>
          <w:rFonts w:ascii="AdvOT863180fb+fb" w:hAnsi="AdvOT863180fb+fb" w:cs="AdvOT863180fb+fb"/>
          <w:color w:val="000000"/>
          <w:sz w:val="24"/>
          <w:szCs w:val="24"/>
          <w:lang w:val="en-US"/>
        </w:rPr>
        <w:t>fi</w:t>
      </w:r>
      <w:r w:rsidRPr="007C6D2D">
        <w:rPr>
          <w:rFonts w:ascii="AdvOT863180fb" w:hAnsi="AdvOT863180fb" w:cs="AdvOT863180fb"/>
          <w:color w:val="000000"/>
          <w:sz w:val="24"/>
          <w:szCs w:val="24"/>
          <w:lang w:val="en-US"/>
        </w:rPr>
        <w:t>rmed experimental results, that observations make theoretical</w:t>
      </w:r>
    </w:p>
    <w:p w:rsidR="00AA03A0" w:rsidRPr="007C6D2D" w:rsidRDefault="00AA03A0" w:rsidP="00AA03A0">
      <w:pPr>
        <w:autoSpaceDE w:val="0"/>
        <w:autoSpaceDN w:val="0"/>
        <w:adjustRightInd w:val="0"/>
        <w:spacing w:after="0" w:line="240" w:lineRule="auto"/>
        <w:rPr>
          <w:rFonts w:ascii="AdvOT863180fb" w:hAnsi="AdvOT863180fb" w:cs="AdvOT863180fb"/>
          <w:color w:val="000000"/>
          <w:sz w:val="24"/>
          <w:szCs w:val="24"/>
          <w:lang w:val="en-US"/>
        </w:rPr>
      </w:pPr>
      <w:proofErr w:type="gramStart"/>
      <w:r w:rsidRPr="007C6D2D">
        <w:rPr>
          <w:rFonts w:ascii="AdvOT863180fb" w:hAnsi="AdvOT863180fb" w:cs="AdvOT863180fb"/>
          <w:color w:val="000000"/>
          <w:sz w:val="24"/>
          <w:szCs w:val="24"/>
          <w:lang w:val="en-US"/>
        </w:rPr>
        <w:t>assumptions</w:t>
      </w:r>
      <w:proofErr w:type="gramEnd"/>
      <w:r w:rsidRPr="007C6D2D">
        <w:rPr>
          <w:rFonts w:ascii="AdvOT863180fb" w:hAnsi="AdvOT863180fb" w:cs="AdvOT863180fb"/>
          <w:color w:val="000000"/>
          <w:sz w:val="24"/>
          <w:szCs w:val="24"/>
          <w:lang w:val="en-US"/>
        </w:rPr>
        <w:t>, that all methodological rules have exceptions, that ordinary citizens may challenge the</w:t>
      </w:r>
    </w:p>
    <w:p w:rsidR="00AA03A0" w:rsidRPr="007C6D2D" w:rsidRDefault="00AA03A0" w:rsidP="00AA03A0">
      <w:pPr>
        <w:autoSpaceDE w:val="0"/>
        <w:autoSpaceDN w:val="0"/>
        <w:adjustRightInd w:val="0"/>
        <w:spacing w:after="0" w:line="240" w:lineRule="auto"/>
        <w:rPr>
          <w:rFonts w:ascii="AdvOT863180fb" w:hAnsi="AdvOT863180fb" w:cs="AdvOT863180fb"/>
          <w:color w:val="000000"/>
          <w:sz w:val="24"/>
          <w:szCs w:val="24"/>
          <w:lang w:val="en-US"/>
        </w:rPr>
      </w:pPr>
      <w:proofErr w:type="gramStart"/>
      <w:r w:rsidRPr="007C6D2D">
        <w:rPr>
          <w:rFonts w:ascii="AdvOT863180fb" w:hAnsi="AdvOT863180fb" w:cs="AdvOT863180fb"/>
          <w:color w:val="000000"/>
          <w:sz w:val="24"/>
          <w:szCs w:val="24"/>
          <w:lang w:val="en-US"/>
        </w:rPr>
        <w:t>judgment</w:t>
      </w:r>
      <w:proofErr w:type="gramEnd"/>
      <w:r w:rsidRPr="007C6D2D">
        <w:rPr>
          <w:rFonts w:ascii="AdvOT863180fb" w:hAnsi="AdvOT863180fb" w:cs="AdvOT863180fb"/>
          <w:color w:val="000000"/>
          <w:sz w:val="24"/>
          <w:szCs w:val="24"/>
          <w:lang w:val="en-US"/>
        </w:rPr>
        <w:t xml:space="preserve"> of experts, and that human happiness should be a key value for science. As radical as these</w:t>
      </w:r>
    </w:p>
    <w:p w:rsidR="00AA03A0" w:rsidRPr="007C6D2D" w:rsidRDefault="00AA03A0" w:rsidP="00AA03A0">
      <w:pPr>
        <w:autoSpaceDE w:val="0"/>
        <w:autoSpaceDN w:val="0"/>
        <w:adjustRightInd w:val="0"/>
        <w:spacing w:after="0" w:line="240" w:lineRule="auto"/>
        <w:rPr>
          <w:rFonts w:ascii="AdvOT863180fb" w:hAnsi="AdvOT863180fb" w:cs="AdvOT863180fb"/>
          <w:color w:val="000000"/>
          <w:sz w:val="24"/>
          <w:szCs w:val="24"/>
          <w:lang w:val="en-US"/>
        </w:rPr>
      </w:pPr>
      <w:proofErr w:type="gramStart"/>
      <w:r w:rsidRPr="007C6D2D">
        <w:rPr>
          <w:rFonts w:ascii="AdvOT863180fb" w:hAnsi="AdvOT863180fb" w:cs="AdvOT863180fb"/>
          <w:color w:val="000000"/>
          <w:sz w:val="24"/>
          <w:szCs w:val="24"/>
          <w:lang w:val="en-US"/>
        </w:rPr>
        <w:t>theses</w:t>
      </w:r>
      <w:proofErr w:type="gramEnd"/>
      <w:r w:rsidRPr="007C6D2D">
        <w:rPr>
          <w:rFonts w:ascii="AdvOT863180fb" w:hAnsi="AdvOT863180fb" w:cs="AdvOT863180fb"/>
          <w:color w:val="000000"/>
          <w:sz w:val="24"/>
          <w:szCs w:val="24"/>
          <w:lang w:val="en-US"/>
        </w:rPr>
        <w:t xml:space="preserve"> may sound, they all have historical antecedents. In defending the Copernican view, Galileo</w:t>
      </w:r>
    </w:p>
    <w:p w:rsidR="00AA03A0" w:rsidRPr="007C6D2D" w:rsidRDefault="00AA03A0" w:rsidP="00AA03A0">
      <w:pPr>
        <w:autoSpaceDE w:val="0"/>
        <w:autoSpaceDN w:val="0"/>
        <w:adjustRightInd w:val="0"/>
        <w:spacing w:after="0" w:line="240" w:lineRule="auto"/>
        <w:rPr>
          <w:rFonts w:ascii="AdvOT863180fb" w:hAnsi="AdvOT863180fb" w:cs="AdvOT863180fb"/>
          <w:color w:val="000000"/>
          <w:sz w:val="24"/>
          <w:szCs w:val="24"/>
          <w:lang w:val="en-US"/>
        </w:rPr>
      </w:pPr>
      <w:proofErr w:type="gramStart"/>
      <w:r w:rsidRPr="007C6D2D">
        <w:rPr>
          <w:rFonts w:ascii="AdvOT863180fb" w:hAnsi="AdvOT863180fb" w:cs="AdvOT863180fb"/>
          <w:color w:val="000000"/>
          <w:sz w:val="24"/>
          <w:szCs w:val="24"/>
          <w:lang w:val="en-US"/>
        </w:rPr>
        <w:t>exempli</w:t>
      </w:r>
      <w:r w:rsidRPr="007C6D2D">
        <w:rPr>
          <w:rFonts w:ascii="AdvOT863180fb+fb" w:hAnsi="AdvOT863180fb+fb" w:cs="AdvOT863180fb+fb"/>
          <w:color w:val="000000"/>
          <w:sz w:val="24"/>
          <w:szCs w:val="24"/>
          <w:lang w:val="en-US"/>
        </w:rPr>
        <w:t>fi</w:t>
      </w:r>
      <w:r w:rsidRPr="007C6D2D">
        <w:rPr>
          <w:rFonts w:ascii="AdvOT863180fb" w:hAnsi="AdvOT863180fb" w:cs="AdvOT863180fb"/>
          <w:color w:val="000000"/>
          <w:sz w:val="24"/>
          <w:szCs w:val="24"/>
          <w:lang w:val="en-US"/>
        </w:rPr>
        <w:t>ed</w:t>
      </w:r>
      <w:proofErr w:type="gramEnd"/>
      <w:r w:rsidRPr="007C6D2D">
        <w:rPr>
          <w:rFonts w:ascii="AdvOT863180fb" w:hAnsi="AdvOT863180fb" w:cs="AdvOT863180fb"/>
          <w:color w:val="000000"/>
          <w:sz w:val="24"/>
          <w:szCs w:val="24"/>
          <w:lang w:val="en-US"/>
        </w:rPr>
        <w:t xml:space="preserve"> the </w:t>
      </w:r>
      <w:r w:rsidRPr="007C6D2D">
        <w:rPr>
          <w:rFonts w:ascii="AdvOT863180fb+fb" w:hAnsi="AdvOT863180fb+fb" w:cs="AdvOT863180fb+fb"/>
          <w:color w:val="000000"/>
          <w:sz w:val="24"/>
          <w:szCs w:val="24"/>
          <w:lang w:val="en-US"/>
        </w:rPr>
        <w:t>fi</w:t>
      </w:r>
      <w:r w:rsidRPr="007C6D2D">
        <w:rPr>
          <w:rFonts w:ascii="AdvOT863180fb" w:hAnsi="AdvOT863180fb" w:cs="AdvOT863180fb"/>
          <w:color w:val="000000"/>
          <w:sz w:val="24"/>
          <w:szCs w:val="24"/>
          <w:lang w:val="en-US"/>
        </w:rPr>
        <w:t>rst two; Mill, Aristotle and Machiavelli all argued for pluralism; Aristotle gave</w:t>
      </w:r>
    </w:p>
    <w:p w:rsidR="00AA03A0" w:rsidRPr="007C6D2D" w:rsidRDefault="00AA03A0" w:rsidP="00AA03A0">
      <w:pPr>
        <w:autoSpaceDE w:val="0"/>
        <w:autoSpaceDN w:val="0"/>
        <w:adjustRightInd w:val="0"/>
        <w:spacing w:after="0" w:line="240" w:lineRule="auto"/>
        <w:rPr>
          <w:rFonts w:ascii="AdvOT863180fb" w:hAnsi="AdvOT863180fb" w:cs="AdvOT863180fb"/>
          <w:color w:val="000000"/>
          <w:sz w:val="24"/>
          <w:szCs w:val="24"/>
          <w:lang w:val="en-US"/>
        </w:rPr>
      </w:pPr>
      <w:proofErr w:type="gramStart"/>
      <w:r w:rsidRPr="007C6D2D">
        <w:rPr>
          <w:rFonts w:ascii="AdvOT863180fb" w:hAnsi="AdvOT863180fb" w:cs="AdvOT863180fb"/>
          <w:color w:val="000000"/>
          <w:sz w:val="24"/>
          <w:szCs w:val="24"/>
          <w:lang w:val="en-US"/>
        </w:rPr>
        <w:t>commonsense</w:t>
      </w:r>
      <w:proofErr w:type="gramEnd"/>
      <w:r w:rsidRPr="007C6D2D">
        <w:rPr>
          <w:rFonts w:ascii="AdvOT863180fb" w:hAnsi="AdvOT863180fb" w:cs="AdvOT863180fb"/>
          <w:color w:val="000000"/>
          <w:sz w:val="24"/>
          <w:szCs w:val="24"/>
          <w:lang w:val="en-US"/>
        </w:rPr>
        <w:t xml:space="preserve"> reasons for why ordinary citizens may be able to judge the work of experts; and a</w:t>
      </w:r>
    </w:p>
    <w:p w:rsidR="00AA03A0" w:rsidRPr="007C6D2D" w:rsidRDefault="00AA03A0" w:rsidP="00AA03A0">
      <w:pPr>
        <w:autoSpaceDE w:val="0"/>
        <w:autoSpaceDN w:val="0"/>
        <w:adjustRightInd w:val="0"/>
        <w:spacing w:after="0" w:line="240" w:lineRule="auto"/>
        <w:rPr>
          <w:rFonts w:ascii="AdvOT863180fb" w:hAnsi="AdvOT863180fb" w:cs="AdvOT863180fb"/>
          <w:color w:val="000000"/>
          <w:sz w:val="24"/>
          <w:szCs w:val="24"/>
          <w:lang w:val="en-US"/>
        </w:rPr>
      </w:pPr>
      <w:proofErr w:type="gramStart"/>
      <w:r w:rsidRPr="007C6D2D">
        <w:rPr>
          <w:rFonts w:ascii="AdvOT863180fb" w:hAnsi="AdvOT863180fb" w:cs="AdvOT863180fb"/>
          <w:color w:val="000000"/>
          <w:sz w:val="24"/>
          <w:szCs w:val="24"/>
          <w:lang w:val="en-US"/>
        </w:rPr>
        <w:t>combination</w:t>
      </w:r>
      <w:proofErr w:type="gramEnd"/>
      <w:r w:rsidRPr="007C6D2D">
        <w:rPr>
          <w:rFonts w:ascii="AdvOT863180fb" w:hAnsi="AdvOT863180fb" w:cs="AdvOT863180fb"/>
          <w:color w:val="000000"/>
          <w:sz w:val="24"/>
          <w:szCs w:val="24"/>
          <w:lang w:val="en-US"/>
        </w:rPr>
        <w:t xml:space="preserve"> of Plato</w:t>
      </w:r>
      <w:r w:rsidRPr="007C6D2D">
        <w:rPr>
          <w:rFonts w:ascii="AdvOT863180fb+20" w:hAnsi="AdvOT863180fb+20" w:cs="AdvOT863180fb+20"/>
          <w:color w:val="000000"/>
          <w:sz w:val="24"/>
          <w:szCs w:val="24"/>
          <w:lang w:val="en-US"/>
        </w:rPr>
        <w:t>’</w:t>
      </w:r>
      <w:r w:rsidRPr="007C6D2D">
        <w:rPr>
          <w:rFonts w:ascii="AdvOT863180fb" w:hAnsi="AdvOT863180fb" w:cs="AdvOT863180fb"/>
          <w:color w:val="000000"/>
          <w:sz w:val="24"/>
          <w:szCs w:val="24"/>
          <w:lang w:val="en-US"/>
        </w:rPr>
        <w:t>s and Aristotle</w:t>
      </w:r>
      <w:r w:rsidRPr="007C6D2D">
        <w:rPr>
          <w:rFonts w:ascii="AdvOT863180fb+20" w:hAnsi="AdvOT863180fb+20" w:cs="AdvOT863180fb+20"/>
          <w:color w:val="000000"/>
          <w:sz w:val="24"/>
          <w:szCs w:val="24"/>
          <w:lang w:val="en-US"/>
        </w:rPr>
        <w:t>’</w:t>
      </w:r>
      <w:r w:rsidRPr="007C6D2D">
        <w:rPr>
          <w:rFonts w:ascii="AdvOT863180fb" w:hAnsi="AdvOT863180fb" w:cs="AdvOT863180fb"/>
          <w:color w:val="000000"/>
          <w:sz w:val="24"/>
          <w:szCs w:val="24"/>
          <w:lang w:val="en-US"/>
        </w:rPr>
        <w:t>s views can offer strong support for the connection between science</w:t>
      </w:r>
    </w:p>
    <w:p w:rsidR="00AA03A0" w:rsidRPr="007C6D2D" w:rsidRDefault="00AA03A0" w:rsidP="00AA03A0">
      <w:pPr>
        <w:autoSpaceDE w:val="0"/>
        <w:autoSpaceDN w:val="0"/>
        <w:adjustRightInd w:val="0"/>
        <w:spacing w:after="0" w:line="240" w:lineRule="auto"/>
        <w:rPr>
          <w:rFonts w:ascii="AdvOT863180fb" w:hAnsi="AdvOT863180fb" w:cs="AdvOT863180fb"/>
          <w:color w:val="000000"/>
          <w:sz w:val="24"/>
          <w:szCs w:val="24"/>
          <w:lang w:val="en-US"/>
        </w:rPr>
      </w:pPr>
      <w:proofErr w:type="gramStart"/>
      <w:r w:rsidRPr="007C6D2D">
        <w:rPr>
          <w:rFonts w:ascii="AdvOT863180fb" w:hAnsi="AdvOT863180fb" w:cs="AdvOT863180fb"/>
          <w:color w:val="000000"/>
          <w:sz w:val="24"/>
          <w:szCs w:val="24"/>
          <w:lang w:val="en-US"/>
        </w:rPr>
        <w:t>and</w:t>
      </w:r>
      <w:proofErr w:type="gramEnd"/>
      <w:r w:rsidRPr="007C6D2D">
        <w:rPr>
          <w:rFonts w:ascii="AdvOT863180fb" w:hAnsi="AdvOT863180fb" w:cs="AdvOT863180fb"/>
          <w:color w:val="000000"/>
          <w:sz w:val="24"/>
          <w:szCs w:val="24"/>
          <w:lang w:val="en-US"/>
        </w:rPr>
        <w:t xml:space="preserve"> happiness.</w:t>
      </w:r>
    </w:p>
    <w:p w:rsidR="00AA03A0" w:rsidRPr="007C6D2D" w:rsidRDefault="00AA03A0" w:rsidP="00AA03A0">
      <w:pPr>
        <w:autoSpaceDE w:val="0"/>
        <w:autoSpaceDN w:val="0"/>
        <w:adjustRightInd w:val="0"/>
        <w:spacing w:after="0" w:line="240" w:lineRule="auto"/>
        <w:rPr>
          <w:rFonts w:ascii="AdvOT863180fb" w:hAnsi="AdvOT863180fb" w:cs="AdvOT863180fb"/>
          <w:color w:val="000000"/>
          <w:sz w:val="24"/>
          <w:szCs w:val="24"/>
          <w:lang w:val="en-US"/>
        </w:rPr>
      </w:pPr>
      <w:proofErr w:type="gramStart"/>
      <w:r w:rsidRPr="007C6D2D">
        <w:rPr>
          <w:rFonts w:ascii="AdvPSSym" w:hAnsi="AdvPSSym" w:cs="AdvPSSym"/>
          <w:color w:val="000000"/>
          <w:sz w:val="24"/>
          <w:szCs w:val="24"/>
          <w:lang w:val="en-US"/>
        </w:rPr>
        <w:t xml:space="preserve">_ </w:t>
      </w:r>
      <w:r w:rsidRPr="007C6D2D">
        <w:rPr>
          <w:rFonts w:ascii="AdvOT863180fb" w:hAnsi="AdvOT863180fb" w:cs="AdvOT863180fb"/>
          <w:color w:val="000000"/>
          <w:sz w:val="24"/>
          <w:szCs w:val="24"/>
          <w:lang w:val="en-US"/>
        </w:rPr>
        <w:t>2015 Elsevier Ltd.</w:t>
      </w:r>
      <w:proofErr w:type="gramEnd"/>
      <w:r w:rsidRPr="007C6D2D">
        <w:rPr>
          <w:rFonts w:ascii="AdvOT863180fb" w:hAnsi="AdvOT863180fb" w:cs="AdvOT863180fb"/>
          <w:color w:val="000000"/>
          <w:sz w:val="24"/>
          <w:szCs w:val="24"/>
          <w:lang w:val="en-US"/>
        </w:rPr>
        <w:t xml:space="preserve"> All rights reserved.</w:t>
      </w:r>
    </w:p>
    <w:p w:rsidR="00AA03A0" w:rsidRPr="007C6D2D" w:rsidRDefault="00AA03A0" w:rsidP="00AA03A0">
      <w:pPr>
        <w:autoSpaceDE w:val="0"/>
        <w:autoSpaceDN w:val="0"/>
        <w:adjustRightInd w:val="0"/>
        <w:spacing w:after="0" w:line="240" w:lineRule="auto"/>
        <w:rPr>
          <w:rFonts w:ascii="AdvOTb92eb7df.I" w:hAnsi="AdvOTb92eb7df.I" w:cs="AdvOTb92eb7df.I"/>
          <w:color w:val="000000"/>
          <w:sz w:val="24"/>
          <w:szCs w:val="24"/>
          <w:lang w:val="en-US"/>
        </w:rPr>
      </w:pPr>
      <w:r w:rsidRPr="007C6D2D">
        <w:rPr>
          <w:rFonts w:ascii="AdvOT863180fb" w:hAnsi="AdvOT863180fb" w:cs="AdvOT863180fb"/>
          <w:color w:val="000000"/>
          <w:sz w:val="24"/>
          <w:szCs w:val="24"/>
          <w:lang w:val="en-US"/>
        </w:rPr>
        <w:t xml:space="preserve">When citing this paper, please use the full journal title </w:t>
      </w:r>
      <w:r w:rsidRPr="007C6D2D">
        <w:rPr>
          <w:rFonts w:ascii="AdvOTb92eb7df.I" w:hAnsi="AdvOTb92eb7df.I" w:cs="AdvOTb92eb7df.I"/>
          <w:color w:val="000000"/>
          <w:sz w:val="24"/>
          <w:szCs w:val="24"/>
          <w:lang w:val="en-US"/>
        </w:rPr>
        <w:t>Studies in History and Philosophy of Science</w:t>
      </w:r>
    </w:p>
    <w:p w:rsidR="00AA03A0" w:rsidRPr="007C6D2D" w:rsidRDefault="00AA03A0" w:rsidP="00AA03A0">
      <w:pPr>
        <w:autoSpaceDE w:val="0"/>
        <w:autoSpaceDN w:val="0"/>
        <w:adjustRightInd w:val="0"/>
        <w:spacing w:after="0" w:line="240" w:lineRule="auto"/>
        <w:rPr>
          <w:rFonts w:ascii="AdvOTb83ee1dd.B" w:hAnsi="AdvOTb83ee1dd.B" w:cs="AdvOTb83ee1dd.B"/>
          <w:color w:val="000000"/>
          <w:sz w:val="24"/>
          <w:szCs w:val="24"/>
          <w:lang w:val="en-US"/>
        </w:rPr>
      </w:pPr>
      <w:r w:rsidRPr="007C6D2D">
        <w:rPr>
          <w:rFonts w:ascii="AdvOTb83ee1dd.B" w:hAnsi="AdvOTb83ee1dd.B" w:cs="AdvOTb83ee1dd.B"/>
          <w:color w:val="000000"/>
          <w:sz w:val="24"/>
          <w:szCs w:val="24"/>
          <w:lang w:val="en-US"/>
        </w:rPr>
        <w:t>1. Introduction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Although, Paul </w:t>
      </w:r>
      <w:proofErr w:type="spell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Feyerabend’s</w:t>
      </w:r>
      <w:proofErr w:type="spell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ideas in philosophy of science are   </w:t>
      </w:r>
      <w:r w:rsidRPr="00F3169F">
        <w:rPr>
          <w:rFonts w:ascii="Times New Roman" w:hAnsi="Times New Roman" w:cs="Times New Roman"/>
          <w:color w:val="000000"/>
          <w:sz w:val="28"/>
          <w:szCs w:val="28"/>
        </w:rPr>
        <w:t>Хотя</w:t>
      </w: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3169F">
        <w:rPr>
          <w:rFonts w:ascii="Times New Roman" w:hAnsi="Times New Roman" w:cs="Times New Roman"/>
          <w:color w:val="000000"/>
          <w:sz w:val="28"/>
          <w:szCs w:val="28"/>
        </w:rPr>
        <w:t>идеи</w:t>
      </w: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3169F">
        <w:rPr>
          <w:rFonts w:ascii="Times New Roman" w:hAnsi="Times New Roman" w:cs="Times New Roman"/>
          <w:color w:val="000000"/>
          <w:sz w:val="28"/>
          <w:szCs w:val="28"/>
        </w:rPr>
        <w:t>Фейерабенда</w:t>
      </w:r>
      <w:proofErr w:type="spell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3169F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3169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3169F">
        <w:rPr>
          <w:rFonts w:ascii="Times New Roman" w:hAnsi="Times New Roman" w:cs="Times New Roman"/>
          <w:color w:val="000000"/>
          <w:sz w:val="28"/>
          <w:szCs w:val="28"/>
        </w:rPr>
        <w:t>революционные</w:t>
      </w: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3169F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3169F">
        <w:rPr>
          <w:rFonts w:ascii="Times New Roman" w:hAnsi="Times New Roman" w:cs="Times New Roman"/>
          <w:color w:val="000000"/>
          <w:sz w:val="28"/>
          <w:szCs w:val="28"/>
        </w:rPr>
        <w:t>сампр</w:t>
      </w:r>
      <w:proofErr w:type="spell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3169F">
        <w:rPr>
          <w:rFonts w:ascii="Times New Roman" w:hAnsi="Times New Roman" w:cs="Times New Roman"/>
          <w:color w:val="000000"/>
          <w:sz w:val="28"/>
          <w:szCs w:val="28"/>
        </w:rPr>
        <w:t>знавал</w:t>
      </w: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F3169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3169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3169F">
        <w:rPr>
          <w:rFonts w:ascii="Times New Roman" w:hAnsi="Times New Roman" w:cs="Times New Roman"/>
          <w:color w:val="000000"/>
          <w:sz w:val="28"/>
          <w:szCs w:val="28"/>
        </w:rPr>
        <w:t>идеи</w:t>
      </w: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3169F">
        <w:rPr>
          <w:rFonts w:ascii="Times New Roman" w:hAnsi="Times New Roman" w:cs="Times New Roman"/>
          <w:color w:val="000000"/>
          <w:sz w:val="28"/>
          <w:szCs w:val="28"/>
        </w:rPr>
        <w:t>коренятся</w:t>
      </w: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3169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3169F">
        <w:rPr>
          <w:rFonts w:ascii="Times New Roman" w:hAnsi="Times New Roman" w:cs="Times New Roman"/>
          <w:color w:val="000000"/>
          <w:sz w:val="28"/>
          <w:szCs w:val="28"/>
        </w:rPr>
        <w:t>сочинениях</w:t>
      </w: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3169F">
        <w:rPr>
          <w:rFonts w:ascii="Times New Roman" w:hAnsi="Times New Roman" w:cs="Times New Roman"/>
          <w:color w:val="000000"/>
          <w:sz w:val="28"/>
          <w:szCs w:val="28"/>
        </w:rPr>
        <w:t>Галилея</w:t>
      </w: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316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3169F">
        <w:rPr>
          <w:rFonts w:ascii="Times New Roman" w:hAnsi="Times New Roman" w:cs="Times New Roman"/>
          <w:color w:val="000000"/>
          <w:sz w:val="28"/>
          <w:szCs w:val="28"/>
        </w:rPr>
        <w:t>Милля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considered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revolutionary, he would have been the first to recognize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that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such ideas had roots in the work of other philosophers who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toiled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long before the discipline received a name of its own. Some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historical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antecedents of his arguments for pluralism in science are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quite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obvious, since </w:t>
      </w:r>
      <w:proofErr w:type="spell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Feyerabend</w:t>
      </w:r>
      <w:proofErr w:type="spell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himself pointed to Galileo and Mill.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Others are perhaps not so obvious. Plato, Aristotle and Machiavelli, I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will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argue, contribute arguments that could be brought together to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support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some of the crucial views that </w:t>
      </w:r>
      <w:proofErr w:type="spell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Feyerabend</w:t>
      </w:r>
      <w:proofErr w:type="spell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made famous, or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infamous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, depending on one’s point of view. In this paper, I will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discuss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how those thinkers had insightful things to say about one or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more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 such themes as the need for pluralism (Aristotle, Machiavelli), </w:t>
      </w:r>
      <w:r w:rsidRPr="00F3169F">
        <w:rPr>
          <w:rFonts w:ascii="Times New Roman" w:hAnsi="Times New Roman" w:cs="Times New Roman"/>
          <w:color w:val="000000"/>
          <w:sz w:val="28"/>
          <w:szCs w:val="28"/>
        </w:rPr>
        <w:t>плюрализм</w:t>
      </w: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3169F">
        <w:rPr>
          <w:rFonts w:ascii="Times New Roman" w:hAnsi="Times New Roman" w:cs="Times New Roman"/>
          <w:color w:val="000000"/>
          <w:sz w:val="28"/>
          <w:szCs w:val="28"/>
        </w:rPr>
        <w:t>Макиавелли</w:t>
      </w: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F3169F">
        <w:rPr>
          <w:rFonts w:ascii="Times New Roman" w:hAnsi="Times New Roman" w:cs="Times New Roman"/>
          <w:color w:val="000000"/>
          <w:sz w:val="28"/>
          <w:szCs w:val="28"/>
        </w:rPr>
        <w:t>отношение</w:t>
      </w: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3169F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3169F">
        <w:rPr>
          <w:rFonts w:ascii="Times New Roman" w:hAnsi="Times New Roman" w:cs="Times New Roman"/>
          <w:color w:val="000000"/>
          <w:sz w:val="28"/>
          <w:szCs w:val="28"/>
        </w:rPr>
        <w:t>практикой</w:t>
      </w: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3169F">
        <w:rPr>
          <w:rFonts w:ascii="Times New Roman" w:hAnsi="Times New Roman" w:cs="Times New Roman"/>
          <w:color w:val="000000"/>
          <w:sz w:val="28"/>
          <w:szCs w:val="28"/>
        </w:rPr>
        <w:t>науки</w:t>
      </w: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3169F">
        <w:rPr>
          <w:rFonts w:ascii="Times New Roman" w:hAnsi="Times New Roman" w:cs="Times New Roman"/>
          <w:color w:val="000000"/>
          <w:sz w:val="28"/>
          <w:szCs w:val="28"/>
        </w:rPr>
        <w:t>счстьем</w:t>
      </w:r>
      <w:proofErr w:type="spell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3169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3169F">
        <w:rPr>
          <w:rFonts w:ascii="Times New Roman" w:hAnsi="Times New Roman" w:cs="Times New Roman"/>
          <w:color w:val="000000"/>
          <w:sz w:val="28"/>
          <w:szCs w:val="28"/>
        </w:rPr>
        <w:t>обществе</w:t>
      </w: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evaluation of science by the citizenry (Aristotle), and the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relationship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between the practice of science and the happiness of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society (Plato, Aristotle).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I will begin by discussing some of the obvious antecedents: the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important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ways in which Galileo and Mill support </w:t>
      </w:r>
      <w:proofErr w:type="spell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Feyerabend’s</w:t>
      </w:r>
      <w:proofErr w:type="spellEnd"/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views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. This discussion, I trust, will provide some bridges that will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allow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me to make more plausible the case I intend to provide in the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bulk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 the paper in support of the notion that the work of Plato,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Aristotle,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Machiavelli are valuable historical antecedents to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Feyerabend’s</w:t>
      </w:r>
      <w:proofErr w:type="spell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philosophy.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Thus I do not mean to suggest that they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directly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influenced the development of </w:t>
      </w:r>
      <w:proofErr w:type="spell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Feyerabend’s</w:t>
      </w:r>
      <w:proofErr w:type="spell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ideas. In some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instances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, I will point out, for example, some clear underpinnings in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Aristotle and Machiavelli for Mill’s ideas on pluralism, ideas that did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influence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Feyerabend</w:t>
      </w:r>
      <w:proofErr w:type="spell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directly. My intent, however, goes beyond the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uncovering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 telling similarities of that sort, for I would like to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present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some ways in which the work of our ancestors can make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Feyerabend’s</w:t>
      </w:r>
      <w:proofErr w:type="spell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arguments stronger.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This approach should have been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even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more to </w:t>
      </w:r>
      <w:proofErr w:type="spell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Feyerabend’s</w:t>
      </w:r>
      <w:proofErr w:type="spell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pleasing, given his emphasis on the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worth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 looking for wisdom in other cultures and other times.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Moreover, that these themes were seen as crucial long before the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birth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 modern science suggests both the value of trying to place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contemporary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controversies in a long historical context, as well as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value of </w:t>
      </w:r>
      <w:proofErr w:type="spell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Feyerabend’s</w:t>
      </w:r>
      <w:proofErr w:type="spell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concerns for understanding human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experience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2. Galileo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When Newton spoke of standing on the shoulders of giants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surely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he had Galileo in mind, for Newton, the physicist, owed him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an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immense debt of gratitude. But for Newton, the consummate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E-mail address: </w:t>
      </w:r>
      <w:r w:rsidRPr="00F3169F">
        <w:rPr>
          <w:rFonts w:ascii="Times New Roman" w:hAnsi="Times New Roman" w:cs="Times New Roman"/>
          <w:color w:val="2197D2"/>
          <w:sz w:val="28"/>
          <w:szCs w:val="28"/>
          <w:lang w:val="en-US"/>
        </w:rPr>
        <w:t>gmunevar@ltu.edu</w:t>
      </w: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gramStart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methodologist</w:t>
      </w:r>
      <w:proofErr w:type="gramEnd"/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>, the connection to Galileo, the consummate anti-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97D2"/>
          <w:sz w:val="28"/>
          <w:szCs w:val="28"/>
          <w:lang w:val="en-US"/>
        </w:rPr>
      </w:pPr>
      <w:r w:rsidRPr="00F3169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Contents lists available at </w:t>
      </w:r>
      <w:proofErr w:type="spellStart"/>
      <w:r w:rsidRPr="00F3169F">
        <w:rPr>
          <w:rFonts w:ascii="Times New Roman" w:hAnsi="Times New Roman" w:cs="Times New Roman"/>
          <w:color w:val="2197D2"/>
          <w:sz w:val="28"/>
          <w:szCs w:val="28"/>
          <w:lang w:val="en-US"/>
        </w:rPr>
        <w:t>ScienceDirect</w:t>
      </w:r>
      <w:proofErr w:type="spellEnd"/>
    </w:p>
    <w:p w:rsidR="00AA03A0" w:rsidRPr="00AA03A0" w:rsidRDefault="00AA03A0" w:rsidP="00AA03A0">
      <w:pPr>
        <w:autoSpaceDE w:val="0"/>
        <w:autoSpaceDN w:val="0"/>
        <w:adjustRightInd w:val="0"/>
        <w:spacing w:after="0" w:line="240" w:lineRule="auto"/>
        <w:rPr>
          <w:rFonts w:ascii="AdvOT863180fb" w:hAnsi="AdvOT863180fb" w:cs="AdvOT863180fb"/>
          <w:color w:val="000000"/>
          <w:sz w:val="28"/>
          <w:szCs w:val="28"/>
          <w:lang w:val="en-US"/>
        </w:rPr>
      </w:pPr>
      <w:r w:rsidRPr="00AA03A0">
        <w:rPr>
          <w:rFonts w:ascii="AdvOT863180fb" w:hAnsi="AdvOT863180fb" w:cs="AdvOT863180fb"/>
          <w:color w:val="000000"/>
          <w:sz w:val="28"/>
          <w:szCs w:val="28"/>
          <w:lang w:val="en-US"/>
        </w:rPr>
        <w:t>Studies in History and Philosophy of Science</w:t>
      </w:r>
    </w:p>
    <w:p w:rsidR="00AA03A0" w:rsidRPr="00AA03A0" w:rsidRDefault="00AA03A0" w:rsidP="00AA03A0">
      <w:pPr>
        <w:autoSpaceDE w:val="0"/>
        <w:autoSpaceDN w:val="0"/>
        <w:adjustRightInd w:val="0"/>
        <w:spacing w:after="0" w:line="240" w:lineRule="auto"/>
        <w:rPr>
          <w:rFonts w:ascii="AdvPSA35D" w:hAnsi="AdvPSA35D" w:cs="AdvPSA35D"/>
          <w:color w:val="000000"/>
          <w:sz w:val="16"/>
          <w:szCs w:val="16"/>
          <w:lang w:val="en-US"/>
        </w:rPr>
      </w:pPr>
      <w:proofErr w:type="gramStart"/>
      <w:r w:rsidRPr="00AA03A0">
        <w:rPr>
          <w:rFonts w:ascii="AdvPSA35D" w:hAnsi="AdvPSA35D" w:cs="AdvPSA35D"/>
          <w:color w:val="000000"/>
          <w:sz w:val="16"/>
          <w:szCs w:val="16"/>
          <w:lang w:val="en-US"/>
        </w:rPr>
        <w:t>journal</w:t>
      </w:r>
      <w:proofErr w:type="gramEnd"/>
      <w:r w:rsidRPr="00AA03A0">
        <w:rPr>
          <w:rFonts w:ascii="AdvPSA35D" w:hAnsi="AdvPSA35D" w:cs="AdvPSA35D"/>
          <w:color w:val="000000"/>
          <w:sz w:val="16"/>
          <w:szCs w:val="16"/>
          <w:lang w:val="en-US"/>
        </w:rPr>
        <w:t xml:space="preserve"> homepage: www.elsevier.com/locate/shpsa</w:t>
      </w:r>
    </w:p>
    <w:p w:rsidR="00AA03A0" w:rsidRPr="00AA03A0" w:rsidRDefault="00AA03A0" w:rsidP="00AA03A0">
      <w:pPr>
        <w:autoSpaceDE w:val="0"/>
        <w:autoSpaceDN w:val="0"/>
        <w:adjustRightInd w:val="0"/>
        <w:spacing w:after="0" w:line="240" w:lineRule="auto"/>
        <w:rPr>
          <w:rFonts w:ascii="AdvOT863180fb" w:hAnsi="AdvOT863180fb" w:cs="AdvOT863180fb"/>
          <w:color w:val="2197D2"/>
          <w:sz w:val="13"/>
          <w:szCs w:val="13"/>
          <w:lang w:val="en-US"/>
        </w:rPr>
      </w:pPr>
      <w:r w:rsidRPr="00AA03A0">
        <w:rPr>
          <w:rFonts w:ascii="AdvOT863180fb" w:hAnsi="AdvOT863180fb" w:cs="AdvOT863180fb"/>
          <w:color w:val="2197D2"/>
          <w:sz w:val="13"/>
          <w:szCs w:val="13"/>
          <w:lang w:val="en-US"/>
        </w:rPr>
        <w:t>http://dx.doi.org/10.1016/j.shpsa.2015.11.002</w:t>
      </w:r>
    </w:p>
    <w:p w:rsidR="00AA03A0" w:rsidRPr="00F3169F" w:rsidRDefault="00AA03A0" w:rsidP="00AA03A0">
      <w:pPr>
        <w:autoSpaceDE w:val="0"/>
        <w:autoSpaceDN w:val="0"/>
        <w:adjustRightInd w:val="0"/>
        <w:spacing w:after="0" w:line="240" w:lineRule="auto"/>
        <w:rPr>
          <w:rFonts w:ascii="AdvOT863180fb" w:hAnsi="AdvOT863180fb" w:cs="AdvOT863180fb"/>
          <w:color w:val="000000"/>
          <w:sz w:val="13"/>
          <w:szCs w:val="13"/>
          <w:lang w:val="en-US"/>
        </w:rPr>
      </w:pPr>
      <w:proofErr w:type="gramStart"/>
      <w:r w:rsidRPr="00AA03A0">
        <w:rPr>
          <w:rFonts w:ascii="AdvOT863180fb" w:hAnsi="AdvOT863180fb" w:cs="AdvOT863180fb"/>
          <w:color w:val="000000"/>
          <w:sz w:val="13"/>
          <w:szCs w:val="13"/>
          <w:lang w:val="en-US"/>
        </w:rPr>
        <w:t>0039-3681/</w:t>
      </w:r>
      <w:r w:rsidRPr="00AA03A0">
        <w:rPr>
          <w:rFonts w:ascii="AdvPSSym" w:hAnsi="AdvPSSym" w:cs="AdvPSSym"/>
          <w:color w:val="000000"/>
          <w:sz w:val="13"/>
          <w:szCs w:val="13"/>
          <w:lang w:val="en-US"/>
        </w:rPr>
        <w:t xml:space="preserve">_ </w:t>
      </w:r>
      <w:r w:rsidRPr="00AA03A0">
        <w:rPr>
          <w:rFonts w:ascii="AdvOT863180fb" w:hAnsi="AdvOT863180fb" w:cs="AdvOT863180fb"/>
          <w:color w:val="000000"/>
          <w:sz w:val="13"/>
          <w:szCs w:val="13"/>
          <w:lang w:val="en-US"/>
        </w:rPr>
        <w:t>2015 Elsevier Ltd.</w:t>
      </w:r>
      <w:proofErr w:type="gramEnd"/>
      <w:r w:rsidRPr="00AA03A0">
        <w:rPr>
          <w:rFonts w:ascii="AdvOT863180fb" w:hAnsi="AdvOT863180fb" w:cs="AdvOT863180fb"/>
          <w:color w:val="000000"/>
          <w:sz w:val="13"/>
          <w:szCs w:val="13"/>
          <w:lang w:val="en-US"/>
        </w:rPr>
        <w:t xml:space="preserve"> </w:t>
      </w:r>
      <w:r w:rsidRPr="00F3169F">
        <w:rPr>
          <w:rFonts w:ascii="AdvOT863180fb" w:hAnsi="AdvOT863180fb" w:cs="AdvOT863180fb"/>
          <w:color w:val="000000"/>
          <w:sz w:val="13"/>
          <w:szCs w:val="13"/>
          <w:lang w:val="en-US"/>
        </w:rPr>
        <w:t>All rights reserved.</w:t>
      </w:r>
    </w:p>
    <w:p w:rsidR="006E7150" w:rsidRPr="00AA03A0" w:rsidRDefault="00AA03A0" w:rsidP="00AA03A0">
      <w:pPr>
        <w:rPr>
          <w:lang w:val="en-US"/>
        </w:rPr>
      </w:pPr>
      <w:r w:rsidRPr="00AA03A0">
        <w:rPr>
          <w:rFonts w:ascii="AdvOT863180fb" w:hAnsi="AdvOT863180fb" w:cs="AdvOT863180fb"/>
          <w:color w:val="2197D2"/>
          <w:sz w:val="13"/>
          <w:szCs w:val="13"/>
          <w:lang w:val="en-US"/>
        </w:rPr>
        <w:t>Studies in History and Philosophy of Science 57 (2016) 9</w:t>
      </w:r>
      <w:r w:rsidRPr="00AA03A0">
        <w:rPr>
          <w:rFonts w:ascii="AdvPS44A44B" w:hAnsi="AdvPS44A44B" w:cs="AdvPS44A44B"/>
          <w:color w:val="2197D2"/>
          <w:sz w:val="13"/>
          <w:szCs w:val="13"/>
          <w:lang w:val="en-US"/>
        </w:rPr>
        <w:t>e</w:t>
      </w:r>
      <w:r w:rsidRPr="00AA03A0">
        <w:rPr>
          <w:rFonts w:ascii="AdvOT863180fb" w:hAnsi="AdvOT863180fb" w:cs="AdvOT863180fb"/>
          <w:color w:val="2197D2"/>
          <w:sz w:val="13"/>
          <w:szCs w:val="13"/>
          <w:lang w:val="en-US"/>
        </w:rPr>
        <w:t>16</w:t>
      </w:r>
    </w:p>
    <w:sectPr w:rsidR="006E7150" w:rsidRPr="00AA03A0" w:rsidSect="006E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vOT863180f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b92eb7df.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c4d0b53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863180fb+fb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dvOT863180fb+2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Sy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OTb83ee1dd.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A35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44A44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3A0"/>
    <w:rsid w:val="006E7150"/>
    <w:rsid w:val="007C6D2D"/>
    <w:rsid w:val="008B19DD"/>
    <w:rsid w:val="0095380E"/>
    <w:rsid w:val="00AA03A0"/>
    <w:rsid w:val="00AE29AA"/>
    <w:rsid w:val="00C5427F"/>
    <w:rsid w:val="00E904DF"/>
    <w:rsid w:val="00EB3758"/>
    <w:rsid w:val="00F3169F"/>
    <w:rsid w:val="00F7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Pechenkin</dc:creator>
  <cp:lastModifiedBy>Pechenkin</cp:lastModifiedBy>
  <cp:revision>2</cp:revision>
  <dcterms:created xsi:type="dcterms:W3CDTF">2024-02-27T17:30:00Z</dcterms:created>
  <dcterms:modified xsi:type="dcterms:W3CDTF">2024-02-27T17:30:00Z</dcterms:modified>
</cp:coreProperties>
</file>