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5A" w:rsidRDefault="00B1265A" w:rsidP="00B1265A">
      <w:pPr>
        <w:rPr>
          <w:rFonts w:ascii="Times New Roman" w:hAnsi="Times New Roman" w:cs="Times New Roman"/>
          <w:b/>
        </w:rPr>
      </w:pPr>
      <w:r w:rsidRPr="00B1265A">
        <w:rPr>
          <w:rFonts w:ascii="Times New Roman" w:hAnsi="Times New Roman" w:cs="Times New Roman"/>
        </w:rPr>
        <w:t>УДК</w:t>
      </w:r>
      <w:r w:rsidR="00367D1E">
        <w:rPr>
          <w:rFonts w:ascii="Times New Roman" w:hAnsi="Times New Roman" w:cs="Times New Roman"/>
        </w:rPr>
        <w:t xml:space="preserve"> </w:t>
      </w:r>
      <w:r w:rsidR="00367D1E" w:rsidRPr="00367D1E">
        <w:rPr>
          <w:rFonts w:ascii="Times New Roman" w:hAnsi="Times New Roman" w:cs="Times New Roman"/>
        </w:rPr>
        <w:t>552.113</w:t>
      </w:r>
      <w:r w:rsidRPr="00B1265A">
        <w:rPr>
          <w:rFonts w:ascii="Times New Roman" w:hAnsi="Times New Roman" w:cs="Times New Roman"/>
        </w:rPr>
        <w:br/>
      </w:r>
      <w:r w:rsidRPr="00B1265A">
        <w:rPr>
          <w:rFonts w:ascii="Times New Roman" w:hAnsi="Times New Roman" w:cs="Times New Roman"/>
          <w:b/>
        </w:rPr>
        <w:t>ПЕРЕНОС W И Mo ПРИ КОНТАКТОВО-РЕАКЦИОННОМ ВЗАИМОДЕЙСТВИИ ФТОРСОДЕРЖАЩЕГО ГРАНИТНОГО РАСПЛАВА И КАЛЬЦИТА ПРИ 750°С И 1 КБАР.</w:t>
      </w:r>
      <w:r w:rsidRPr="00B1265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Алферьева Я.О.</w:t>
      </w:r>
      <w:r w:rsidRPr="00B1265A">
        <w:rPr>
          <w:rFonts w:ascii="Times New Roman" w:hAnsi="Times New Roman" w:cs="Times New Roman"/>
          <w:b/>
        </w:rPr>
        <w:t>, Григорьева Е.И.</w:t>
      </w:r>
      <w:r w:rsidR="00FC0225">
        <w:rPr>
          <w:rFonts w:ascii="Times New Roman" w:hAnsi="Times New Roman" w:cs="Times New Roman"/>
          <w:b/>
        </w:rPr>
        <w:t>, Микшин А.В.</w:t>
      </w:r>
    </w:p>
    <w:p w:rsidR="00B1265A" w:rsidRDefault="00B1265A" w:rsidP="00B1265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Московский государственный университет им.М.В.Ломоносова, геологический факультет, Москва</w:t>
      </w:r>
      <w:r w:rsidRPr="00B1265A">
        <w:rPr>
          <w:rFonts w:ascii="Times New Roman" w:hAnsi="Times New Roman" w:cs="Times New Roman"/>
          <w:b/>
        </w:rPr>
        <w:t xml:space="preserve"> (</w:t>
      </w:r>
      <w:hyperlink r:id="rId4" w:history="1">
        <w:r w:rsidRPr="00286361">
          <w:rPr>
            <w:rStyle w:val="a3"/>
            <w:rFonts w:ascii="Times New Roman" w:hAnsi="Times New Roman" w:cs="Times New Roman"/>
            <w:b/>
          </w:rPr>
          <w:t>YanaAlf@bk.ru</w:t>
        </w:r>
      </w:hyperlink>
      <w:r>
        <w:rPr>
          <w:rFonts w:ascii="Times New Roman" w:hAnsi="Times New Roman" w:cs="Times New Roman"/>
          <w:b/>
        </w:rPr>
        <w:t>)</w:t>
      </w:r>
    </w:p>
    <w:p w:rsidR="00A051CA" w:rsidRDefault="00B1265A" w:rsidP="00B1265A">
      <w:pPr>
        <w:rPr>
          <w:rFonts w:ascii="Times New Roman" w:hAnsi="Times New Roman" w:cs="Times New Roman"/>
          <w:b/>
        </w:rPr>
      </w:pPr>
      <w:r w:rsidRPr="00B1265A">
        <w:rPr>
          <w:rFonts w:ascii="Times New Roman" w:hAnsi="Times New Roman" w:cs="Times New Roman"/>
          <w:b/>
        </w:rPr>
        <w:t>Аннотация</w:t>
      </w:r>
    </w:p>
    <w:p w:rsidR="00A051CA" w:rsidRDefault="00FC0225" w:rsidP="00A051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помощью методов экспериментального моделирования</w:t>
      </w:r>
      <w:r w:rsidR="00D351A6">
        <w:rPr>
          <w:rFonts w:ascii="Times New Roman" w:hAnsi="Times New Roman" w:cs="Times New Roman"/>
        </w:rPr>
        <w:t xml:space="preserve"> </w:t>
      </w:r>
      <w:r w:rsidR="00A051CA" w:rsidRPr="00A051CA">
        <w:rPr>
          <w:rFonts w:ascii="Times New Roman" w:hAnsi="Times New Roman" w:cs="Times New Roman"/>
        </w:rPr>
        <w:t>показана возможность взаимодействия фторсодержащего гранитного расплава и кальцита с интенсивным перераспределением компонентов и образованием новых фаз. Исходное содержание воды в системе не превышает 10% от массы навески. Исходное содержание рудных компонентов WO</w:t>
      </w:r>
      <w:r w:rsidR="00A051CA" w:rsidRPr="00D351A6">
        <w:rPr>
          <w:rFonts w:ascii="Times New Roman" w:hAnsi="Times New Roman" w:cs="Times New Roman"/>
          <w:vertAlign w:val="subscript"/>
        </w:rPr>
        <w:t>3</w:t>
      </w:r>
      <w:r w:rsidR="00A051CA" w:rsidRPr="00A051CA">
        <w:rPr>
          <w:rFonts w:ascii="Times New Roman" w:hAnsi="Times New Roman" w:cs="Times New Roman"/>
        </w:rPr>
        <w:t xml:space="preserve"> и MoO</w:t>
      </w:r>
      <w:r w:rsidR="00A051CA" w:rsidRPr="00D351A6">
        <w:rPr>
          <w:rFonts w:ascii="Times New Roman" w:hAnsi="Times New Roman" w:cs="Times New Roman"/>
          <w:vertAlign w:val="subscript"/>
        </w:rPr>
        <w:t>3</w:t>
      </w:r>
      <w:r w:rsidR="00A051CA" w:rsidRPr="00A051CA">
        <w:rPr>
          <w:rFonts w:ascii="Times New Roman" w:hAnsi="Times New Roman" w:cs="Times New Roman"/>
        </w:rPr>
        <w:t xml:space="preserve"> в силикатной части составляет по 0,3 масс.% каждого в пересчете на металл. </w:t>
      </w:r>
    </w:p>
    <w:p w:rsidR="00FC0225" w:rsidRPr="00FC0225" w:rsidRDefault="00FC0225" w:rsidP="00A051CA">
      <w:pPr>
        <w:rPr>
          <w:rFonts w:ascii="Times New Roman" w:hAnsi="Times New Roman" w:cs="Times New Roman"/>
          <w:i/>
        </w:rPr>
      </w:pPr>
      <w:r w:rsidRPr="00FC0225">
        <w:rPr>
          <w:rFonts w:ascii="Times New Roman" w:hAnsi="Times New Roman" w:cs="Times New Roman"/>
          <w:i/>
        </w:rPr>
        <w:t>Ключевые слова</w:t>
      </w:r>
      <w:r w:rsidRPr="00FC0225">
        <w:rPr>
          <w:rFonts w:ascii="Times New Roman" w:hAnsi="Times New Roman" w:cs="Times New Roman"/>
          <w:i/>
        </w:rPr>
        <w:t>:</w:t>
      </w:r>
      <w:r w:rsidRPr="003E2F1B">
        <w:rPr>
          <w:rFonts w:ascii="Times New Roman" w:hAnsi="Times New Roman" w:cs="Times New Roman"/>
          <w:i/>
        </w:rPr>
        <w:t xml:space="preserve"> </w:t>
      </w:r>
      <w:r w:rsidRPr="003E2F1B">
        <w:rPr>
          <w:rFonts w:ascii="Times New Roman" w:hAnsi="Times New Roman" w:cs="Times New Roman"/>
          <w:i/>
          <w:sz w:val="24"/>
          <w:szCs w:val="24"/>
        </w:rPr>
        <w:t>редкометальные скарны, перенос вольфрама и молибдена, взаимодействие фторсодержащего расплава и кальцита.</w:t>
      </w:r>
    </w:p>
    <w:p w:rsidR="00D351A6" w:rsidRPr="00A051CA" w:rsidRDefault="00D351A6" w:rsidP="00A051CA">
      <w:pPr>
        <w:rPr>
          <w:rFonts w:ascii="Times New Roman" w:hAnsi="Times New Roman" w:cs="Times New Roman"/>
        </w:rPr>
      </w:pPr>
      <w:r w:rsidRPr="00D351A6">
        <w:rPr>
          <w:rFonts w:ascii="Times New Roman" w:hAnsi="Times New Roman" w:cs="Times New Roman"/>
          <w:b/>
        </w:rPr>
        <w:t>Цели работы:</w:t>
      </w:r>
      <w:r w:rsidRPr="00D351A6">
        <w:rPr>
          <w:rFonts w:ascii="Times New Roman" w:hAnsi="Times New Roman" w:cs="Times New Roman"/>
        </w:rPr>
        <w:t xml:space="preserve"> установить особенности минеральной и химической зональности </w:t>
      </w:r>
      <w:r w:rsidR="00FC0225">
        <w:rPr>
          <w:rFonts w:ascii="Times New Roman" w:hAnsi="Times New Roman" w:cs="Times New Roman"/>
        </w:rPr>
        <w:t xml:space="preserve">области </w:t>
      </w:r>
      <w:r w:rsidRPr="00D351A6">
        <w:rPr>
          <w:rFonts w:ascii="Times New Roman" w:hAnsi="Times New Roman" w:cs="Times New Roman"/>
        </w:rPr>
        <w:t>взаимодействия кальцита и фторсодержащего гранитного расплава при Т=750ºС и р=1кбар; проверить возможность переноса вольфрама и молибдена из силикатного расплава в карбонатную часть системы.</w:t>
      </w:r>
    </w:p>
    <w:p w:rsidR="00D351A6" w:rsidRDefault="00D351A6" w:rsidP="00A051CA">
      <w:pPr>
        <w:rPr>
          <w:rFonts w:ascii="Times New Roman" w:hAnsi="Times New Roman" w:cs="Times New Roman"/>
        </w:rPr>
      </w:pPr>
      <w:r w:rsidRPr="00D351A6">
        <w:rPr>
          <w:rFonts w:ascii="Times New Roman" w:hAnsi="Times New Roman" w:cs="Times New Roman"/>
          <w:b/>
        </w:rPr>
        <w:t>Методика эксперимента.</w:t>
      </w:r>
      <w:r>
        <w:rPr>
          <w:rFonts w:ascii="Times New Roman" w:hAnsi="Times New Roman" w:cs="Times New Roman"/>
          <w:b/>
        </w:rPr>
        <w:t xml:space="preserve"> </w:t>
      </w:r>
      <w:r w:rsidRPr="00D351A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пыты пр</w:t>
      </w:r>
      <w:r w:rsidR="006045D6">
        <w:rPr>
          <w:rFonts w:ascii="Times New Roman" w:hAnsi="Times New Roman" w:cs="Times New Roman"/>
        </w:rPr>
        <w:t xml:space="preserve">оводились в герметично заваренных платиновых ампулах </w:t>
      </w:r>
      <w:r>
        <w:rPr>
          <w:rFonts w:ascii="Times New Roman" w:hAnsi="Times New Roman" w:cs="Times New Roman"/>
        </w:rPr>
        <w:t>диаметр</w:t>
      </w:r>
      <w:r w:rsidR="006045D6">
        <w:rPr>
          <w:rFonts w:ascii="Times New Roman" w:hAnsi="Times New Roman" w:cs="Times New Roman"/>
        </w:rPr>
        <w:t>ом</w:t>
      </w:r>
      <w:r>
        <w:rPr>
          <w:rFonts w:ascii="Times New Roman" w:hAnsi="Times New Roman" w:cs="Times New Roman"/>
        </w:rPr>
        <w:t xml:space="preserve"> 5 мм на установке высокого газового давления ИЭМ РАН (г. Черноголовка). В нижнюю часть ампулы загружалась смесь химических реактивов, соответствующая модельному составу </w:t>
      </w:r>
      <w:r w:rsidR="00367D1E">
        <w:rPr>
          <w:rFonts w:ascii="Times New Roman" w:hAnsi="Times New Roman" w:cs="Times New Roman"/>
        </w:rPr>
        <w:t>глубоко дифференцированного</w:t>
      </w:r>
      <w:r>
        <w:rPr>
          <w:rFonts w:ascii="Times New Roman" w:hAnsi="Times New Roman" w:cs="Times New Roman"/>
        </w:rPr>
        <w:t xml:space="preserve"> фторсодержащего гранитного расплава (табл.1). В верхнюю часть </w:t>
      </w:r>
      <w:r w:rsidR="006045D6">
        <w:rPr>
          <w:rFonts w:ascii="Times New Roman" w:hAnsi="Times New Roman" w:cs="Times New Roman"/>
        </w:rPr>
        <w:t>загружался химический реактив карбоната кальция. Соотношение масс силикатного и карбонатного материала равно 2/1.</w:t>
      </w:r>
      <w:r w:rsidR="00CE657C">
        <w:rPr>
          <w:rFonts w:ascii="Times New Roman" w:hAnsi="Times New Roman" w:cs="Times New Roman"/>
        </w:rPr>
        <w:t xml:space="preserve"> </w:t>
      </w:r>
      <w:r w:rsidR="00FC0225">
        <w:rPr>
          <w:rFonts w:ascii="Times New Roman" w:hAnsi="Times New Roman" w:cs="Times New Roman"/>
        </w:rPr>
        <w:t xml:space="preserve">В ампулу добавлялась вода в количестве 10% от массы навески. </w:t>
      </w:r>
      <w:r w:rsidR="00CE657C">
        <w:rPr>
          <w:rFonts w:ascii="Times New Roman" w:hAnsi="Times New Roman" w:cs="Times New Roman"/>
        </w:rPr>
        <w:t>Продолжительность опытов – 7 дней.</w:t>
      </w:r>
    </w:p>
    <w:p w:rsidR="006045D6" w:rsidRDefault="006045D6" w:rsidP="00A051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1. Исходный состав силикатной части навески</w:t>
      </w:r>
      <w:r w:rsidR="00CE657C">
        <w:rPr>
          <w:rFonts w:ascii="Times New Roman" w:hAnsi="Times New Roman" w:cs="Times New Roman"/>
        </w:rPr>
        <w:t xml:space="preserve"> (масс.%)</w:t>
      </w:r>
      <w:r>
        <w:rPr>
          <w:rFonts w:ascii="Times New Roman" w:hAnsi="Times New Roman" w:cs="Times New Roman"/>
        </w:rPr>
        <w:t>.</w:t>
      </w:r>
    </w:p>
    <w:tbl>
      <w:tblPr>
        <w:tblW w:w="7600" w:type="dxa"/>
        <w:tblInd w:w="-10" w:type="dxa"/>
        <w:tblLook w:val="0600" w:firstRow="0" w:lastRow="0" w:firstColumn="0" w:lastColumn="0" w:noHBand="1" w:noVBand="1"/>
      </w:tblPr>
      <w:tblGrid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6045D6" w:rsidRPr="006045D6" w:rsidTr="006045D6">
        <w:trPr>
          <w:trHeight w:val="336"/>
        </w:trPr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SiO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Al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Fe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CaO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Na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K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2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Li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vertAlign w:val="subscript"/>
                <w:lang w:val="en-US" w:eastAsia="ru-RU"/>
              </w:rPr>
              <w:t>2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MoO</w:t>
            </w:r>
            <w:r w:rsidRPr="006045D6">
              <w:rPr>
                <w:rFonts w:ascii="Times New Roman" w:eastAsia="Times New Roman" w:hAnsi="Times New Roman" w:cs="Times New Roman"/>
                <w:color w:val="000000"/>
                <w:vertAlign w:val="subscript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F</w:t>
            </w:r>
          </w:p>
        </w:tc>
      </w:tr>
      <w:tr w:rsidR="006045D6" w:rsidRPr="006045D6" w:rsidTr="006045D6">
        <w:trPr>
          <w:trHeight w:val="300"/>
        </w:trPr>
        <w:tc>
          <w:tcPr>
            <w:tcW w:w="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4,62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045D6" w:rsidRPr="006045D6" w:rsidRDefault="006045D6" w:rsidP="006045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45D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</w:tr>
    </w:tbl>
    <w:p w:rsidR="006045D6" w:rsidRDefault="006045D6" w:rsidP="00A051CA">
      <w:pPr>
        <w:rPr>
          <w:rFonts w:ascii="Times New Roman" w:hAnsi="Times New Roman" w:cs="Times New Roman"/>
        </w:rPr>
      </w:pPr>
    </w:p>
    <w:p w:rsidR="00C35881" w:rsidRDefault="00C35881" w:rsidP="00A051CA">
      <w:pPr>
        <w:rPr>
          <w:rFonts w:ascii="Times New Roman" w:hAnsi="Times New Roman" w:cs="Times New Roman"/>
        </w:rPr>
      </w:pPr>
      <w:r w:rsidRPr="00C35881">
        <w:rPr>
          <w:rFonts w:ascii="Times New Roman" w:hAnsi="Times New Roman" w:cs="Times New Roman"/>
          <w:b/>
        </w:rPr>
        <w:t>Полученные результаты.</w:t>
      </w:r>
      <w:r>
        <w:rPr>
          <w:rFonts w:ascii="Times New Roman" w:hAnsi="Times New Roman" w:cs="Times New Roman"/>
        </w:rPr>
        <w:t xml:space="preserve"> </w:t>
      </w:r>
      <w:r w:rsidR="00A051CA" w:rsidRPr="00A051CA">
        <w:rPr>
          <w:rFonts w:ascii="Times New Roman" w:hAnsi="Times New Roman" w:cs="Times New Roman"/>
        </w:rPr>
        <w:t xml:space="preserve">В продуктах экспериментов </w:t>
      </w:r>
      <w:r>
        <w:rPr>
          <w:rFonts w:ascii="Times New Roman" w:hAnsi="Times New Roman" w:cs="Times New Roman"/>
        </w:rPr>
        <w:t>отмечается интенсивное взаимодействие силикатного и карбонатного материала, сопровождаемое переносом вещества и образованием новых минеральных фаз. В</w:t>
      </w:r>
      <w:r w:rsidR="00A051CA" w:rsidRPr="00A051CA">
        <w:rPr>
          <w:rFonts w:ascii="Times New Roman" w:hAnsi="Times New Roman" w:cs="Times New Roman"/>
        </w:rPr>
        <w:t xml:space="preserve"> апокарбонатной части </w:t>
      </w:r>
      <w:r>
        <w:rPr>
          <w:rFonts w:ascii="Times New Roman" w:hAnsi="Times New Roman" w:cs="Times New Roman"/>
        </w:rPr>
        <w:t xml:space="preserve">исходный кальцит замещается агрегатом куспидина, флюорита и фазы </w:t>
      </w:r>
      <w:r>
        <w:rPr>
          <w:rFonts w:ascii="Times New Roman" w:hAnsi="Times New Roman" w:cs="Times New Roman"/>
          <w:lang w:val="en-US"/>
        </w:rPr>
        <w:t>LCF</w:t>
      </w:r>
      <w:r>
        <w:rPr>
          <w:rFonts w:ascii="Times New Roman" w:hAnsi="Times New Roman" w:cs="Times New Roman"/>
        </w:rPr>
        <w:t>. Замещение проходит в соответствии с реакциями (в скобках представлены компоненты, которые переносятся раствором):</w:t>
      </w:r>
    </w:p>
    <w:p w:rsidR="00C35881" w:rsidRPr="00C35881" w:rsidRDefault="00C35881" w:rsidP="00C35881">
      <w:pPr>
        <w:rPr>
          <w:rFonts w:ascii="Times New Roman" w:hAnsi="Times New Roman" w:cs="Times New Roman"/>
        </w:rPr>
      </w:pPr>
      <w:r w:rsidRPr="00C35881">
        <w:rPr>
          <w:rFonts w:ascii="Times New Roman" w:hAnsi="Times New Roman" w:cs="Times New Roman"/>
          <w:i/>
          <w:iCs/>
          <w:lang w:val="en-US"/>
        </w:rPr>
        <w:t>Cal</w:t>
      </w:r>
      <w:r w:rsidRPr="00C35881">
        <w:rPr>
          <w:rFonts w:ascii="Times New Roman" w:hAnsi="Times New Roman" w:cs="Times New Roman"/>
          <w:lang w:val="en-US"/>
        </w:rPr>
        <w:t xml:space="preserve"> + 2(F</w:t>
      </w:r>
      <w:r w:rsidRPr="00C35881">
        <w:rPr>
          <w:rFonts w:ascii="Times New Roman" w:hAnsi="Times New Roman" w:cs="Times New Roman"/>
          <w:vertAlign w:val="superscript"/>
          <w:lang w:val="en-US"/>
        </w:rPr>
        <w:t>-</w:t>
      </w:r>
      <w:r w:rsidRPr="00C35881">
        <w:rPr>
          <w:rFonts w:ascii="Times New Roman" w:hAnsi="Times New Roman" w:cs="Times New Roman"/>
          <w:lang w:val="en-US"/>
        </w:rPr>
        <w:t xml:space="preserve">) = </w:t>
      </w:r>
      <w:r w:rsidRPr="00C35881">
        <w:rPr>
          <w:rFonts w:ascii="Times New Roman" w:hAnsi="Times New Roman" w:cs="Times New Roman"/>
          <w:i/>
          <w:iCs/>
          <w:lang w:val="en-US"/>
        </w:rPr>
        <w:t>Flu</w:t>
      </w:r>
      <w:r w:rsidRPr="00C35881">
        <w:rPr>
          <w:rFonts w:ascii="Times New Roman" w:hAnsi="Times New Roman" w:cs="Times New Roman"/>
          <w:lang w:val="en-US"/>
        </w:rPr>
        <w:t xml:space="preserve"> + (CO</w:t>
      </w:r>
      <w:r w:rsidRPr="00C35881">
        <w:rPr>
          <w:rFonts w:ascii="Times New Roman" w:hAnsi="Times New Roman" w:cs="Times New Roman"/>
          <w:vertAlign w:val="subscript"/>
          <w:lang w:val="en-US"/>
        </w:rPr>
        <w:t>3</w:t>
      </w:r>
      <w:r w:rsidRPr="00C35881">
        <w:rPr>
          <w:rFonts w:ascii="Times New Roman" w:hAnsi="Times New Roman" w:cs="Times New Roman"/>
          <w:vertAlign w:val="superscript"/>
          <w:lang w:val="en-US"/>
        </w:rPr>
        <w:t>2-</w:t>
      </w:r>
      <w:r w:rsidRPr="00C35881">
        <w:rPr>
          <w:rFonts w:ascii="Times New Roman" w:hAnsi="Times New Roman" w:cs="Times New Roman"/>
          <w:lang w:val="en-US"/>
        </w:rPr>
        <w:t>),</w:t>
      </w:r>
    </w:p>
    <w:p w:rsidR="00C35881" w:rsidRPr="00C35881" w:rsidRDefault="00C35881" w:rsidP="00C35881">
      <w:pPr>
        <w:rPr>
          <w:rFonts w:ascii="Times New Roman" w:hAnsi="Times New Roman" w:cs="Times New Roman"/>
        </w:rPr>
      </w:pPr>
      <w:r w:rsidRPr="00C35881">
        <w:rPr>
          <w:rFonts w:ascii="Times New Roman" w:hAnsi="Times New Roman" w:cs="Times New Roman"/>
          <w:lang w:val="en-US"/>
        </w:rPr>
        <w:t>4</w:t>
      </w:r>
      <w:r w:rsidRPr="00C35881">
        <w:rPr>
          <w:rFonts w:ascii="Times New Roman" w:hAnsi="Times New Roman" w:cs="Times New Roman"/>
          <w:i/>
          <w:iCs/>
          <w:lang w:val="en-US"/>
        </w:rPr>
        <w:t>Cal</w:t>
      </w:r>
      <w:r w:rsidRPr="00C35881">
        <w:rPr>
          <w:rFonts w:ascii="Times New Roman" w:hAnsi="Times New Roman" w:cs="Times New Roman"/>
          <w:lang w:val="en-US"/>
        </w:rPr>
        <w:t xml:space="preserve"> + 2(Si</w:t>
      </w:r>
      <w:r w:rsidRPr="00C35881">
        <w:rPr>
          <w:rFonts w:ascii="Times New Roman" w:hAnsi="Times New Roman" w:cs="Times New Roman"/>
          <w:vertAlign w:val="superscript"/>
          <w:lang w:val="en-US"/>
        </w:rPr>
        <w:t>4+</w:t>
      </w:r>
      <w:r w:rsidRPr="00C35881">
        <w:rPr>
          <w:rFonts w:ascii="Times New Roman" w:hAnsi="Times New Roman" w:cs="Times New Roman"/>
          <w:lang w:val="en-US"/>
        </w:rPr>
        <w:t>)+ 2(F</w:t>
      </w:r>
      <w:r w:rsidRPr="00C35881">
        <w:rPr>
          <w:rFonts w:ascii="Times New Roman" w:hAnsi="Times New Roman" w:cs="Times New Roman"/>
          <w:vertAlign w:val="superscript"/>
          <w:lang w:val="en-US"/>
        </w:rPr>
        <w:t>-</w:t>
      </w:r>
      <w:r w:rsidRPr="00C35881">
        <w:rPr>
          <w:rFonts w:ascii="Times New Roman" w:hAnsi="Times New Roman" w:cs="Times New Roman"/>
          <w:lang w:val="en-US"/>
        </w:rPr>
        <w:t>) + 7(O</w:t>
      </w:r>
      <w:r w:rsidRPr="00C35881">
        <w:rPr>
          <w:rFonts w:ascii="Times New Roman" w:hAnsi="Times New Roman" w:cs="Times New Roman"/>
          <w:vertAlign w:val="superscript"/>
          <w:lang w:val="en-US"/>
        </w:rPr>
        <w:t>2-</w:t>
      </w:r>
      <w:r w:rsidRPr="00C35881">
        <w:rPr>
          <w:rFonts w:ascii="Times New Roman" w:hAnsi="Times New Roman" w:cs="Times New Roman"/>
          <w:lang w:val="en-US"/>
        </w:rPr>
        <w:t xml:space="preserve">) = </w:t>
      </w:r>
      <w:r w:rsidRPr="00C35881">
        <w:rPr>
          <w:rFonts w:ascii="Times New Roman" w:hAnsi="Times New Roman" w:cs="Times New Roman"/>
          <w:i/>
          <w:iCs/>
          <w:lang w:val="en-US"/>
        </w:rPr>
        <w:t>Csp</w:t>
      </w:r>
      <w:r w:rsidRPr="00C35881">
        <w:rPr>
          <w:rFonts w:ascii="Times New Roman" w:hAnsi="Times New Roman" w:cs="Times New Roman"/>
          <w:lang w:val="en-US"/>
        </w:rPr>
        <w:t xml:space="preserve"> + 4(CO</w:t>
      </w:r>
      <w:r w:rsidRPr="00C35881">
        <w:rPr>
          <w:rFonts w:ascii="Times New Roman" w:hAnsi="Times New Roman" w:cs="Times New Roman"/>
          <w:vertAlign w:val="subscript"/>
          <w:lang w:val="en-US"/>
        </w:rPr>
        <w:t>3</w:t>
      </w:r>
      <w:r w:rsidRPr="00C35881">
        <w:rPr>
          <w:rFonts w:ascii="Times New Roman" w:hAnsi="Times New Roman" w:cs="Times New Roman"/>
          <w:vertAlign w:val="superscript"/>
          <w:lang w:val="en-US"/>
        </w:rPr>
        <w:t>2-</w:t>
      </w:r>
      <w:r w:rsidRPr="00C35881">
        <w:rPr>
          <w:rFonts w:ascii="Times New Roman" w:hAnsi="Times New Roman" w:cs="Times New Roman"/>
          <w:lang w:val="en-US"/>
        </w:rPr>
        <w:t xml:space="preserve">).  </w:t>
      </w:r>
    </w:p>
    <w:p w:rsidR="00C35881" w:rsidRDefault="00C35881" w:rsidP="00C35881">
      <w:pPr>
        <w:rPr>
          <w:rFonts w:ascii="Times New Roman" w:hAnsi="Times New Roman" w:cs="Times New Roman"/>
          <w:lang w:val="en-US"/>
        </w:rPr>
      </w:pPr>
      <w:r w:rsidRPr="00C35881">
        <w:rPr>
          <w:rFonts w:ascii="Times New Roman" w:hAnsi="Times New Roman" w:cs="Times New Roman"/>
          <w:lang w:val="en-US"/>
        </w:rPr>
        <w:t>14</w:t>
      </w:r>
      <w:r w:rsidRPr="00C35881">
        <w:rPr>
          <w:rFonts w:ascii="Times New Roman" w:hAnsi="Times New Roman" w:cs="Times New Roman"/>
          <w:i/>
          <w:iCs/>
        </w:rPr>
        <w:t>С</w:t>
      </w:r>
      <w:r w:rsidRPr="00C35881">
        <w:rPr>
          <w:rFonts w:ascii="Times New Roman" w:hAnsi="Times New Roman" w:cs="Times New Roman"/>
          <w:i/>
          <w:iCs/>
          <w:lang w:val="en-US"/>
        </w:rPr>
        <w:t>al</w:t>
      </w:r>
      <w:r w:rsidRPr="00C35881">
        <w:rPr>
          <w:rFonts w:ascii="Times New Roman" w:hAnsi="Times New Roman" w:cs="Times New Roman"/>
          <w:lang w:val="en-US"/>
        </w:rPr>
        <w:t>+14(Si</w:t>
      </w:r>
      <w:r w:rsidRPr="00C35881">
        <w:rPr>
          <w:rFonts w:ascii="Times New Roman" w:hAnsi="Times New Roman" w:cs="Times New Roman"/>
          <w:vertAlign w:val="superscript"/>
          <w:lang w:val="en-US"/>
        </w:rPr>
        <w:t>4+</w:t>
      </w:r>
      <w:r w:rsidRPr="00C35881">
        <w:rPr>
          <w:rFonts w:ascii="Times New Roman" w:hAnsi="Times New Roman" w:cs="Times New Roman"/>
          <w:lang w:val="en-US"/>
        </w:rPr>
        <w:t>)+20(F</w:t>
      </w:r>
      <w:r w:rsidRPr="00C35881">
        <w:rPr>
          <w:rFonts w:ascii="Times New Roman" w:hAnsi="Times New Roman" w:cs="Times New Roman"/>
          <w:vertAlign w:val="superscript"/>
          <w:lang w:val="en-US"/>
        </w:rPr>
        <w:t>-</w:t>
      </w:r>
      <w:r w:rsidRPr="00C35881">
        <w:rPr>
          <w:rFonts w:ascii="Times New Roman" w:hAnsi="Times New Roman" w:cs="Times New Roman"/>
          <w:lang w:val="en-US"/>
        </w:rPr>
        <w:t>)+25,5(О</w:t>
      </w:r>
      <w:r w:rsidRPr="00C35881">
        <w:rPr>
          <w:rFonts w:ascii="Times New Roman" w:hAnsi="Times New Roman" w:cs="Times New Roman"/>
          <w:vertAlign w:val="superscript"/>
          <w:lang w:val="en-US"/>
        </w:rPr>
        <w:t>2-</w:t>
      </w:r>
      <w:r w:rsidRPr="00C35881">
        <w:rPr>
          <w:rFonts w:ascii="Times New Roman" w:hAnsi="Times New Roman" w:cs="Times New Roman"/>
          <w:lang w:val="en-US"/>
        </w:rPr>
        <w:t xml:space="preserve">)= </w:t>
      </w:r>
      <w:r w:rsidRPr="00C35881">
        <w:rPr>
          <w:rFonts w:ascii="Times New Roman" w:hAnsi="Times New Roman" w:cs="Times New Roman"/>
          <w:i/>
          <w:iCs/>
          <w:lang w:val="en-US"/>
        </w:rPr>
        <w:t>LCF</w:t>
      </w:r>
      <w:r w:rsidRPr="00C35881">
        <w:rPr>
          <w:rFonts w:ascii="Times New Roman" w:hAnsi="Times New Roman" w:cs="Times New Roman"/>
          <w:lang w:val="en-US"/>
        </w:rPr>
        <w:t>+7,5(</w:t>
      </w:r>
      <w:r w:rsidRPr="00C35881">
        <w:rPr>
          <w:rFonts w:ascii="Times New Roman" w:hAnsi="Times New Roman" w:cs="Times New Roman"/>
        </w:rPr>
        <w:t>С</w:t>
      </w:r>
      <w:r w:rsidRPr="00C35881">
        <w:rPr>
          <w:rFonts w:ascii="Times New Roman" w:hAnsi="Times New Roman" w:cs="Times New Roman"/>
          <w:lang w:val="en-US"/>
        </w:rPr>
        <w:t>O</w:t>
      </w:r>
      <w:r w:rsidRPr="00C35881">
        <w:rPr>
          <w:rFonts w:ascii="Times New Roman" w:hAnsi="Times New Roman" w:cs="Times New Roman"/>
          <w:vertAlign w:val="subscript"/>
          <w:lang w:val="en-US"/>
        </w:rPr>
        <w:t xml:space="preserve">3 </w:t>
      </w:r>
      <w:r w:rsidRPr="00C35881">
        <w:rPr>
          <w:rFonts w:ascii="Times New Roman" w:hAnsi="Times New Roman" w:cs="Times New Roman"/>
          <w:vertAlign w:val="superscript"/>
          <w:lang w:val="en-US"/>
        </w:rPr>
        <w:t>2-</w:t>
      </w:r>
      <w:r w:rsidRPr="00C35881">
        <w:rPr>
          <w:rFonts w:ascii="Times New Roman" w:hAnsi="Times New Roman" w:cs="Times New Roman"/>
          <w:lang w:val="en-US"/>
        </w:rPr>
        <w:t>).</w:t>
      </w:r>
    </w:p>
    <w:p w:rsidR="00BA5C5C" w:rsidRDefault="00DF7564" w:rsidP="00DF7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Фаза </w:t>
      </w:r>
      <w:r>
        <w:rPr>
          <w:rFonts w:ascii="Times New Roman" w:hAnsi="Times New Roman" w:cs="Times New Roman"/>
          <w:lang w:val="en-US"/>
        </w:rPr>
        <w:t>LCF</w:t>
      </w:r>
      <w:r>
        <w:rPr>
          <w:rFonts w:ascii="Times New Roman" w:hAnsi="Times New Roman" w:cs="Times New Roman"/>
        </w:rPr>
        <w:t xml:space="preserve"> не имеет определенных кристаллографических очертаний, располагается в интерстициях между другими фазами. Ее состав изменяется в широких пределах и не соответствует </w:t>
      </w:r>
      <w:r w:rsidR="0019293D">
        <w:rPr>
          <w:rFonts w:ascii="Times New Roman" w:hAnsi="Times New Roman" w:cs="Times New Roman"/>
        </w:rPr>
        <w:t>ни одной</w:t>
      </w:r>
      <w:r>
        <w:rPr>
          <w:rFonts w:ascii="Times New Roman" w:hAnsi="Times New Roman" w:cs="Times New Roman"/>
        </w:rPr>
        <w:t xml:space="preserve"> известной кристаллической фазе. На основании этих признаков мы считаем эту фазу продуктом закалки расплава, который</w:t>
      </w:r>
      <w:r w:rsidR="00BA5C5C">
        <w:rPr>
          <w:rFonts w:ascii="Times New Roman" w:hAnsi="Times New Roman" w:cs="Times New Roman"/>
        </w:rPr>
        <w:t xml:space="preserve"> был стабилен при параметрах эксперимента (</w:t>
      </w:r>
      <w:r w:rsidR="00BA5C5C">
        <w:rPr>
          <w:rFonts w:ascii="Times New Roman" w:hAnsi="Times New Roman" w:cs="Times New Roman"/>
          <w:lang w:val="en-US"/>
        </w:rPr>
        <w:t>Alferyeva et al., 2024</w:t>
      </w:r>
      <w:r w:rsidR="00BA5C5C">
        <w:rPr>
          <w:rFonts w:ascii="Times New Roman" w:hAnsi="Times New Roman" w:cs="Times New Roman"/>
        </w:rPr>
        <w:t xml:space="preserve">). Средний состав фазы </w:t>
      </w:r>
      <w:r w:rsidR="00BA5C5C">
        <w:rPr>
          <w:rFonts w:ascii="Times New Roman" w:hAnsi="Times New Roman" w:cs="Times New Roman"/>
          <w:lang w:val="en-US"/>
        </w:rPr>
        <w:t>LCF</w:t>
      </w:r>
      <w:r w:rsidR="00BA5C5C">
        <w:rPr>
          <w:rFonts w:ascii="Times New Roman" w:hAnsi="Times New Roman" w:cs="Times New Roman"/>
        </w:rPr>
        <w:t xml:space="preserve"> приведен в таблице 2.</w:t>
      </w:r>
    </w:p>
    <w:p w:rsidR="00BA5C5C" w:rsidRDefault="00BA5C5C" w:rsidP="00DF7564">
      <w:pPr>
        <w:rPr>
          <w:rFonts w:ascii="Times New Roman" w:hAnsi="Times New Roman" w:cs="Times New Roman"/>
        </w:rPr>
      </w:pPr>
    </w:p>
    <w:p w:rsidR="00BA5C5C" w:rsidRDefault="00BA5C5C" w:rsidP="00DF7564">
      <w:r>
        <w:rPr>
          <w:rFonts w:ascii="Times New Roman" w:hAnsi="Times New Roman" w:cs="Times New Roman"/>
        </w:rPr>
        <w:lastRenderedPageBreak/>
        <w:t xml:space="preserve">Таблица 2. Средний состав фазы </w:t>
      </w:r>
      <w:r>
        <w:rPr>
          <w:rFonts w:ascii="Times New Roman" w:hAnsi="Times New Roman" w:cs="Times New Roman"/>
          <w:lang w:val="en-US"/>
        </w:rPr>
        <w:t>LCF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LINK Excel.Sheet.12 "Книга1" "Лист1!R1C1:R3C10" \a \f 5 \h  \* MERGEFORMAT </w:instrText>
      </w:r>
      <w:r>
        <w:rPr>
          <w:rFonts w:ascii="Times New Roman" w:hAnsi="Times New Roman" w:cs="Times New Roman"/>
        </w:rPr>
        <w:fldChar w:fldCharType="separate"/>
      </w:r>
    </w:p>
    <w:tbl>
      <w:tblPr>
        <w:tblStyle w:val="a4"/>
        <w:tblW w:w="96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BA5C5C" w:rsidRPr="00BA5C5C" w:rsidTr="00BA5C5C">
        <w:trPr>
          <w:trHeight w:val="288"/>
        </w:trPr>
        <w:tc>
          <w:tcPr>
            <w:tcW w:w="960" w:type="dxa"/>
            <w:noWrap/>
            <w:hideMark/>
          </w:tcPr>
          <w:p w:rsidR="00BA5C5C" w:rsidRPr="00BA5C5C" w:rsidRDefault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LCF 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Si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Ca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K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 xml:space="preserve">O 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Сум</w:t>
            </w:r>
            <w:r>
              <w:rPr>
                <w:rFonts w:ascii="Times New Roman" w:hAnsi="Times New Roman" w:cs="Times New Roman"/>
              </w:rPr>
              <w:t>ма</w:t>
            </w:r>
          </w:p>
        </w:tc>
      </w:tr>
      <w:tr w:rsidR="00BA5C5C" w:rsidRPr="00BA5C5C" w:rsidTr="00BA5C5C">
        <w:trPr>
          <w:trHeight w:val="288"/>
        </w:trPr>
        <w:tc>
          <w:tcPr>
            <w:tcW w:w="960" w:type="dxa"/>
            <w:noWrap/>
            <w:hideMark/>
          </w:tcPr>
          <w:p w:rsidR="00BA5C5C" w:rsidRPr="00BA5C5C" w:rsidRDefault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Мас.%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83</w:t>
            </w:r>
          </w:p>
        </w:tc>
      </w:tr>
      <w:tr w:rsidR="00BA5C5C" w:rsidRPr="00BA5C5C" w:rsidTr="00BA5C5C">
        <w:trPr>
          <w:trHeight w:val="288"/>
        </w:trPr>
        <w:tc>
          <w:tcPr>
            <w:tcW w:w="960" w:type="dxa"/>
            <w:noWrap/>
            <w:hideMark/>
          </w:tcPr>
          <w:p w:rsidR="00BA5C5C" w:rsidRPr="00BA5C5C" w:rsidRDefault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Ат.%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46,6</w:t>
            </w:r>
          </w:p>
        </w:tc>
        <w:tc>
          <w:tcPr>
            <w:tcW w:w="960" w:type="dxa"/>
            <w:noWrap/>
            <w:hideMark/>
          </w:tcPr>
          <w:p w:rsidR="00BA5C5C" w:rsidRPr="00BA5C5C" w:rsidRDefault="00BA5C5C" w:rsidP="00BA5C5C">
            <w:pPr>
              <w:rPr>
                <w:rFonts w:ascii="Times New Roman" w:hAnsi="Times New Roman" w:cs="Times New Roman"/>
              </w:rPr>
            </w:pPr>
            <w:r w:rsidRPr="00BA5C5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BA5C5C" w:rsidRDefault="00BA5C5C" w:rsidP="00DF75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end"/>
      </w:r>
    </w:p>
    <w:p w:rsidR="001517FE" w:rsidRPr="001517FE" w:rsidRDefault="001517FE" w:rsidP="00C358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Через 100-150 мкм от фронта замещения флюорит ис</w:t>
      </w:r>
      <w:r w:rsidR="00D94391">
        <w:rPr>
          <w:rFonts w:ascii="Times New Roman" w:hAnsi="Times New Roman" w:cs="Times New Roman"/>
        </w:rPr>
        <w:t>чезает. Стабильной становится ас</w:t>
      </w:r>
      <w:r>
        <w:rPr>
          <w:rFonts w:ascii="Times New Roman" w:hAnsi="Times New Roman" w:cs="Times New Roman"/>
        </w:rPr>
        <w:t xml:space="preserve">социация кальцита, куспидина и фазы </w:t>
      </w:r>
      <w:r>
        <w:rPr>
          <w:rFonts w:ascii="Times New Roman" w:hAnsi="Times New Roman" w:cs="Times New Roman"/>
          <w:lang w:val="en-US"/>
        </w:rPr>
        <w:t>LCF</w:t>
      </w:r>
      <w:r w:rsidR="00CB5A62">
        <w:rPr>
          <w:rFonts w:ascii="Times New Roman" w:hAnsi="Times New Roman" w:cs="Times New Roman"/>
        </w:rPr>
        <w:t xml:space="preserve"> (см. рис.1, зона 3)</w:t>
      </w:r>
      <w:r>
        <w:rPr>
          <w:rFonts w:ascii="Times New Roman" w:hAnsi="Times New Roman" w:cs="Times New Roman"/>
        </w:rPr>
        <w:t xml:space="preserve">. Непосредственно на контакте </w:t>
      </w:r>
      <w:r w:rsidR="00D94391">
        <w:rPr>
          <w:rFonts w:ascii="Times New Roman" w:hAnsi="Times New Roman" w:cs="Times New Roman"/>
        </w:rPr>
        <w:t>с силикатной частью стабильны кальцит и флюорит</w:t>
      </w:r>
      <w:r w:rsidR="00CB5A62">
        <w:rPr>
          <w:rFonts w:ascii="Times New Roman" w:hAnsi="Times New Roman" w:cs="Times New Roman"/>
        </w:rPr>
        <w:t xml:space="preserve"> (зона 4)</w:t>
      </w:r>
      <w:r w:rsidR="00D94391">
        <w:rPr>
          <w:rFonts w:ascii="Times New Roman" w:hAnsi="Times New Roman" w:cs="Times New Roman"/>
        </w:rPr>
        <w:t>. Помимо них в этой области появляется молибдошеелит, содержание которого составляет примерно 7 %, и цельзиан (около 10%). Барий нами не вводился в исходную навеску. Его</w:t>
      </w:r>
      <w:r w:rsidR="00FC0225">
        <w:rPr>
          <w:rFonts w:ascii="Times New Roman" w:hAnsi="Times New Roman" w:cs="Times New Roman"/>
        </w:rPr>
        <w:t xml:space="preserve"> присутствие в продуктах опытов</w:t>
      </w:r>
      <w:r w:rsidR="00DF7564">
        <w:rPr>
          <w:rFonts w:ascii="Times New Roman" w:hAnsi="Times New Roman" w:cs="Times New Roman"/>
        </w:rPr>
        <w:t>,</w:t>
      </w:r>
      <w:r w:rsidR="00D94391">
        <w:rPr>
          <w:rFonts w:ascii="Times New Roman" w:hAnsi="Times New Roman" w:cs="Times New Roman"/>
        </w:rPr>
        <w:t xml:space="preserve"> скорее всего</w:t>
      </w:r>
      <w:r w:rsidR="00DF7564">
        <w:rPr>
          <w:rFonts w:ascii="Times New Roman" w:hAnsi="Times New Roman" w:cs="Times New Roman"/>
        </w:rPr>
        <w:t>,</w:t>
      </w:r>
      <w:r w:rsidR="00D94391">
        <w:rPr>
          <w:rFonts w:ascii="Times New Roman" w:hAnsi="Times New Roman" w:cs="Times New Roman"/>
        </w:rPr>
        <w:t xml:space="preserve"> связано с небольшой примесью этого элемента в исходном реактиве карбоната кальция.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94391" w:rsidTr="00367D1E">
        <w:tc>
          <w:tcPr>
            <w:tcW w:w="9345" w:type="dxa"/>
          </w:tcPr>
          <w:p w:rsidR="00D94391" w:rsidRDefault="00CB5A62" w:rsidP="00A051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35650" cy="5835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968 в.t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6475" cy="5836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391" w:rsidTr="00367D1E">
        <w:tc>
          <w:tcPr>
            <w:tcW w:w="9345" w:type="dxa"/>
          </w:tcPr>
          <w:p w:rsidR="00D94391" w:rsidRDefault="00CB5A62" w:rsidP="00D94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Рис. 1</w:t>
            </w:r>
            <w:r w:rsidR="00D94391">
              <w:rPr>
                <w:rFonts w:ascii="Times New Roman" w:hAnsi="Times New Roman" w:cs="Times New Roman"/>
              </w:rPr>
              <w:t>. Область контакта апокарбонатной и силикатной части образца</w:t>
            </w:r>
            <w:r w:rsidR="00DF7564">
              <w:rPr>
                <w:rFonts w:ascii="Times New Roman" w:hAnsi="Times New Roman" w:cs="Times New Roman"/>
              </w:rPr>
              <w:t xml:space="preserve"> (Алферьева и др., 2024)</w:t>
            </w:r>
            <w:r w:rsidR="00D9439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41310" w:rsidRDefault="00E41310" w:rsidP="00D94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Условные обозначения: </w:t>
            </w:r>
            <w:r w:rsidRPr="00E41310">
              <w:rPr>
                <w:rFonts w:ascii="Times New Roman" w:hAnsi="Times New Roman" w:cs="Times New Roman"/>
              </w:rPr>
              <w:t>Cal - кальцит, Cls - цельзиан, Cor - корунд, Csp - куспидин, Flu - флюорит, L – алюмосиликатное стекло, LCF – продукты закалки кальций-кремний-карбонатно-фторидной фазы, Mo-Sch – молибдо-шеелит, Pl – плагиоклаз (в скобках содержание анортитововго компонента в мол.%).</w:t>
            </w:r>
          </w:p>
          <w:p w:rsidR="00CB5A62" w:rsidRDefault="00CB5A62" w:rsidP="00D943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Пунктирной линией проведены границы между зонами разного минерального состава. </w:t>
            </w:r>
          </w:p>
        </w:tc>
      </w:tr>
    </w:tbl>
    <w:p w:rsidR="00D94391" w:rsidRDefault="00D94391" w:rsidP="00A051CA">
      <w:pPr>
        <w:rPr>
          <w:rFonts w:ascii="Times New Roman" w:hAnsi="Times New Roman" w:cs="Times New Roman"/>
        </w:rPr>
      </w:pPr>
    </w:p>
    <w:p w:rsidR="00FC0225" w:rsidRDefault="00FC0225" w:rsidP="00A051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Приконтактовая область силикатной части образца состоит из плагиоклаза переменного состава</w:t>
      </w:r>
      <w:r w:rsidR="00CB5A62">
        <w:rPr>
          <w:rFonts w:ascii="Times New Roman" w:hAnsi="Times New Roman" w:cs="Times New Roman"/>
        </w:rPr>
        <w:t xml:space="preserve"> с небольшой примесью корунда</w:t>
      </w:r>
      <w:r w:rsidR="003E2F1B">
        <w:rPr>
          <w:rFonts w:ascii="Times New Roman" w:hAnsi="Times New Roman" w:cs="Times New Roman"/>
        </w:rPr>
        <w:t xml:space="preserve"> (зона 5)</w:t>
      </w:r>
      <w:r>
        <w:rPr>
          <w:rFonts w:ascii="Times New Roman" w:hAnsi="Times New Roman" w:cs="Times New Roman"/>
        </w:rPr>
        <w:t xml:space="preserve">. При удалении от контакта он сменяется ассоциацией </w:t>
      </w:r>
      <w:r w:rsidR="00CB5A62">
        <w:rPr>
          <w:rFonts w:ascii="Times New Roman" w:hAnsi="Times New Roman" w:cs="Times New Roman"/>
        </w:rPr>
        <w:t xml:space="preserve">алюмосиликатного стекла и щелочного  полевого шпата. </w:t>
      </w:r>
    </w:p>
    <w:p w:rsidR="00C35881" w:rsidRPr="00E41310" w:rsidRDefault="003E2F1B" w:rsidP="00A051CA">
      <w:pPr>
        <w:rPr>
          <w:rFonts w:ascii="Times New Roman" w:hAnsi="Times New Roman" w:cs="Times New Roman"/>
        </w:rPr>
      </w:pPr>
      <w:r w:rsidRPr="00E41310">
        <w:rPr>
          <w:rFonts w:ascii="Times New Roman" w:hAnsi="Times New Roman" w:cs="Times New Roman"/>
          <w:b/>
        </w:rPr>
        <w:t>Выводы:</w:t>
      </w:r>
      <w:r>
        <w:rPr>
          <w:rFonts w:ascii="Times New Roman" w:hAnsi="Times New Roman" w:cs="Times New Roman"/>
        </w:rPr>
        <w:t xml:space="preserve"> На контакте кальцита и фторсодержащего алюмосиликатного расплава при 750</w:t>
      </w:r>
      <w:r w:rsidR="00E41310">
        <w:rPr>
          <w:rFonts w:ascii="Times New Roman" w:hAnsi="Times New Roman" w:cs="Times New Roman"/>
        </w:rPr>
        <w:t>°</w:t>
      </w:r>
      <w:r>
        <w:rPr>
          <w:rFonts w:ascii="Times New Roman" w:hAnsi="Times New Roman" w:cs="Times New Roman"/>
        </w:rPr>
        <w:t xml:space="preserve">С и 1 кбар происходит взаимодействие, сопровождаемое переносом компонентов и образованием новых фаз. Рудные </w:t>
      </w:r>
      <w:r w:rsidR="00E41310">
        <w:rPr>
          <w:rFonts w:ascii="Times New Roman" w:hAnsi="Times New Roman" w:cs="Times New Roman"/>
          <w:lang w:val="en-US"/>
        </w:rPr>
        <w:t xml:space="preserve">W </w:t>
      </w:r>
      <w:r w:rsidR="00E41310">
        <w:rPr>
          <w:rFonts w:ascii="Times New Roman" w:hAnsi="Times New Roman" w:cs="Times New Roman"/>
        </w:rPr>
        <w:t xml:space="preserve">и </w:t>
      </w:r>
      <w:r w:rsidR="00E41310">
        <w:rPr>
          <w:rFonts w:ascii="Times New Roman" w:hAnsi="Times New Roman" w:cs="Times New Roman"/>
          <w:lang w:val="en-US"/>
        </w:rPr>
        <w:t>Mo</w:t>
      </w:r>
      <w:r w:rsidR="00E41310">
        <w:rPr>
          <w:rFonts w:ascii="Times New Roman" w:hAnsi="Times New Roman" w:cs="Times New Roman"/>
        </w:rPr>
        <w:t xml:space="preserve"> выносятся из алюмосиликатного расплава и осаждаются в приконтактовой области апокарбонатной части образца в виде молибдошеелита.</w:t>
      </w:r>
    </w:p>
    <w:p w:rsidR="00BA5C5C" w:rsidRDefault="00B1265A" w:rsidP="00A051CA">
      <w:pPr>
        <w:rPr>
          <w:rFonts w:ascii="Times New Roman" w:hAnsi="Times New Roman" w:cs="Times New Roman"/>
        </w:rPr>
      </w:pPr>
      <w:r w:rsidRPr="00B1265A">
        <w:rPr>
          <w:rFonts w:ascii="Times New Roman" w:hAnsi="Times New Roman" w:cs="Times New Roman"/>
        </w:rPr>
        <w:br/>
      </w:r>
      <w:r w:rsidRPr="00B1265A">
        <w:rPr>
          <w:rFonts w:ascii="Times New Roman" w:hAnsi="Times New Roman" w:cs="Times New Roman"/>
          <w:i/>
        </w:rPr>
        <w:t>Источник финансирования</w:t>
      </w:r>
      <w:r w:rsidR="00E41310">
        <w:rPr>
          <w:rFonts w:ascii="Times New Roman" w:hAnsi="Times New Roman" w:cs="Times New Roman"/>
          <w:i/>
        </w:rPr>
        <w:t xml:space="preserve">. </w:t>
      </w:r>
      <w:r w:rsidR="00E41310" w:rsidRPr="00E41310">
        <w:rPr>
          <w:rFonts w:ascii="Times New Roman" w:hAnsi="Times New Roman" w:cs="Times New Roman"/>
          <w:i/>
        </w:rPr>
        <w:t>Работа выполнена в рамках госбюджетной темы «Режимы петрогенеза внутренних геосфер Земли». Аналитические данные получены в лаборатории локальных методов исследования вещества (кафедра петрологии и вулканологии, Геологический факультет МГУ) с использованием электронно-зондового микроанализатора «JEOL JXA-8230», приобретенного за счет средств Программы развития Московского университета.</w:t>
      </w:r>
      <w:r w:rsidRPr="00B1265A">
        <w:rPr>
          <w:rFonts w:ascii="Times New Roman" w:hAnsi="Times New Roman" w:cs="Times New Roman"/>
          <w:i/>
        </w:rPr>
        <w:br/>
      </w:r>
      <w:r w:rsidRPr="00B1265A">
        <w:rPr>
          <w:rFonts w:ascii="Times New Roman" w:hAnsi="Times New Roman" w:cs="Times New Roman"/>
          <w:i/>
        </w:rPr>
        <w:br/>
      </w:r>
      <w:r w:rsidR="00E41310" w:rsidRPr="00367D1E">
        <w:rPr>
          <w:rFonts w:ascii="Times New Roman" w:hAnsi="Times New Roman" w:cs="Times New Roman"/>
          <w:b/>
        </w:rPr>
        <w:t>Список литературы:</w:t>
      </w:r>
    </w:p>
    <w:p w:rsidR="00BA5C5C" w:rsidRPr="00BA5C5C" w:rsidRDefault="00BA5C5C" w:rsidP="00BA5C5C">
      <w:pPr>
        <w:rPr>
          <w:rFonts w:ascii="Times New Roman" w:hAnsi="Times New Roman" w:cs="Times New Roman"/>
        </w:rPr>
      </w:pPr>
      <w:r w:rsidRPr="00BA5C5C">
        <w:rPr>
          <w:rFonts w:ascii="Times New Roman" w:hAnsi="Times New Roman" w:cs="Times New Roman"/>
        </w:rPr>
        <w:t>Алферьева Я.О., Микшин А.В., Щекина Т.И., Григорьева Е.И.</w:t>
      </w:r>
      <w:r>
        <w:rPr>
          <w:rFonts w:ascii="Times New Roman" w:hAnsi="Times New Roman" w:cs="Times New Roman"/>
          <w:lang w:val="en-US"/>
        </w:rPr>
        <w:t xml:space="preserve"> </w:t>
      </w:r>
      <w:r w:rsidRPr="00BA5C5C">
        <w:rPr>
          <w:rFonts w:ascii="Times New Roman" w:hAnsi="Times New Roman" w:cs="Times New Roman"/>
        </w:rPr>
        <w:t>Фазовый состав зон контактово-реакционного взаимодействия фторсодержащего алюмосиликатного расплав</w:t>
      </w:r>
      <w:r>
        <w:rPr>
          <w:rFonts w:ascii="Times New Roman" w:hAnsi="Times New Roman" w:cs="Times New Roman"/>
        </w:rPr>
        <w:t>а и кальцита при 750°С и 1 кбар // Вестник МГУ</w:t>
      </w:r>
      <w:r w:rsidR="003E2F1B">
        <w:rPr>
          <w:rFonts w:ascii="Times New Roman" w:hAnsi="Times New Roman" w:cs="Times New Roman"/>
        </w:rPr>
        <w:t>. Серия 4, Геология. – 2024. В печати.</w:t>
      </w:r>
    </w:p>
    <w:p w:rsidR="00BA5C5C" w:rsidRDefault="00BA5C5C" w:rsidP="00BA5C5C">
      <w:pPr>
        <w:rPr>
          <w:rFonts w:ascii="Times New Roman" w:hAnsi="Times New Roman" w:cs="Times New Roman"/>
        </w:rPr>
      </w:pPr>
      <w:r w:rsidRPr="00BA5C5C">
        <w:rPr>
          <w:rFonts w:ascii="Times New Roman" w:hAnsi="Times New Roman" w:cs="Times New Roman"/>
        </w:rPr>
        <w:t>Alferyeva Y. O., Gramenitsky E. N., Novikova A. S. Experimental modeling of interaction between fluorine-containing granite melt and calcite marble // Petrology. — 2024. — Vol. 32, no. 2. — P. 235–247.</w:t>
      </w:r>
    </w:p>
    <w:p w:rsidR="00367D1E" w:rsidRDefault="00B1265A" w:rsidP="00367D1E">
      <w:pPr>
        <w:rPr>
          <w:rFonts w:ascii="Times New Roman" w:hAnsi="Times New Roman" w:cs="Times New Roman"/>
          <w:b/>
        </w:rPr>
      </w:pPr>
      <w:r w:rsidRPr="00BA5C5C">
        <w:rPr>
          <w:rFonts w:ascii="Times New Roman" w:hAnsi="Times New Roman" w:cs="Times New Roman"/>
        </w:rPr>
        <w:br/>
      </w:r>
      <w:r w:rsidRPr="00B1265A">
        <w:rPr>
          <w:rFonts w:ascii="Times New Roman" w:hAnsi="Times New Roman" w:cs="Times New Roman"/>
        </w:rPr>
        <w:br/>
      </w:r>
    </w:p>
    <w:p w:rsidR="00367D1E" w:rsidRDefault="00367D1E" w:rsidP="00367D1E">
      <w:pPr>
        <w:rPr>
          <w:rFonts w:ascii="Times New Roman" w:hAnsi="Times New Roman" w:cs="Times New Roman"/>
          <w:b/>
        </w:rPr>
      </w:pPr>
    </w:p>
    <w:p w:rsidR="00367D1E" w:rsidRDefault="00367D1E" w:rsidP="00367D1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TRANSFER OF W AND M</w:t>
      </w:r>
      <w:r>
        <w:rPr>
          <w:rFonts w:ascii="Times New Roman" w:hAnsi="Times New Roman" w:cs="Times New Roman"/>
          <w:b/>
          <w:lang w:val="en-US"/>
        </w:rPr>
        <w:t>o</w:t>
      </w:r>
      <w:r>
        <w:rPr>
          <w:rFonts w:ascii="Times New Roman" w:hAnsi="Times New Roman" w:cs="Times New Roman"/>
          <w:b/>
        </w:rPr>
        <w:t xml:space="preserve"> DURING CONTACT</w:t>
      </w:r>
      <w:r w:rsidRPr="00367D1E">
        <w:rPr>
          <w:rFonts w:ascii="Times New Roman" w:hAnsi="Times New Roman" w:cs="Times New Roman"/>
          <w:b/>
        </w:rPr>
        <w:t xml:space="preserve"> INTERACTION OF FLUORINE-CONTAINING GRANITE MELT AND CALCITE AT 750°C AND 1 KBAR. </w:t>
      </w:r>
    </w:p>
    <w:p w:rsidR="00367D1E" w:rsidRPr="00367D1E" w:rsidRDefault="00367D1E" w:rsidP="00367D1E">
      <w:pPr>
        <w:rPr>
          <w:rFonts w:ascii="Times New Roman" w:hAnsi="Times New Roman" w:cs="Times New Roman"/>
          <w:b/>
        </w:rPr>
      </w:pPr>
      <w:r w:rsidRPr="00367D1E">
        <w:rPr>
          <w:rFonts w:ascii="Times New Roman" w:hAnsi="Times New Roman" w:cs="Times New Roman"/>
          <w:b/>
        </w:rPr>
        <w:t>Alfereva Ya.O., Grigorieva E.I., Mikshin A.V.</w:t>
      </w:r>
    </w:p>
    <w:p w:rsidR="00B1265A" w:rsidRPr="00367D1E" w:rsidRDefault="00367D1E" w:rsidP="00367D1E">
      <w:pPr>
        <w:rPr>
          <w:rFonts w:ascii="Times New Roman" w:hAnsi="Times New Roman" w:cs="Times New Roman"/>
          <w:b/>
        </w:rPr>
      </w:pPr>
      <w:r w:rsidRPr="00367D1E">
        <w:rPr>
          <w:rFonts w:ascii="Times New Roman" w:hAnsi="Times New Roman" w:cs="Times New Roman"/>
          <w:b/>
        </w:rPr>
        <w:t>Moscow State University M.V. Lomonosov, Faculty of Geology, Moscow (</w:t>
      </w:r>
      <w:hyperlink r:id="rId6" w:history="1">
        <w:r w:rsidRPr="00367D1E">
          <w:rPr>
            <w:rStyle w:val="a3"/>
            <w:rFonts w:ascii="Times New Roman" w:hAnsi="Times New Roman" w:cs="Times New Roman"/>
            <w:b/>
          </w:rPr>
          <w:t>YanaAlf@bk.ru</w:t>
        </w:r>
      </w:hyperlink>
      <w:r w:rsidRPr="00367D1E">
        <w:rPr>
          <w:rFonts w:ascii="Times New Roman" w:hAnsi="Times New Roman" w:cs="Times New Roman"/>
          <w:b/>
        </w:rPr>
        <w:t>)</w:t>
      </w:r>
    </w:p>
    <w:p w:rsidR="00367D1E" w:rsidRDefault="00367D1E" w:rsidP="00367D1E">
      <w:pPr>
        <w:rPr>
          <w:rFonts w:ascii="Times New Roman" w:hAnsi="Times New Roman" w:cs="Times New Roman"/>
          <w:b/>
        </w:rPr>
      </w:pPr>
      <w:r w:rsidRPr="00B1265A">
        <w:rPr>
          <w:rFonts w:ascii="Times New Roman" w:hAnsi="Times New Roman" w:cs="Times New Roman"/>
          <w:b/>
        </w:rPr>
        <w:t>Abstrac</w:t>
      </w:r>
      <w:r>
        <w:rPr>
          <w:rFonts w:ascii="Times New Roman" w:hAnsi="Times New Roman" w:cs="Times New Roman"/>
          <w:b/>
          <w:lang w:val="en-US"/>
        </w:rPr>
        <w:t>t</w:t>
      </w:r>
    </w:p>
    <w:p w:rsidR="00367D1E" w:rsidRDefault="00367D1E" w:rsidP="00367D1E">
      <w:pPr>
        <w:rPr>
          <w:rFonts w:ascii="Times New Roman" w:hAnsi="Times New Roman" w:cs="Times New Roman"/>
        </w:rPr>
      </w:pPr>
      <w:r w:rsidRPr="00367D1E">
        <w:rPr>
          <w:rFonts w:ascii="Times New Roman" w:hAnsi="Times New Roman" w:cs="Times New Roman"/>
        </w:rPr>
        <w:t xml:space="preserve">Using experimental modeling methods, the possibility of interaction between fluorine-containing granite melt and calcite with intense redistribution of components and the formation of new phases is shown. The initial water content in the </w:t>
      </w:r>
      <w:proofErr w:type="spellStart"/>
      <w:r w:rsidRPr="00367D1E">
        <w:rPr>
          <w:rFonts w:ascii="Times New Roman" w:hAnsi="Times New Roman" w:cs="Times New Roman"/>
        </w:rPr>
        <w:t>system</w:t>
      </w:r>
      <w:bookmarkStart w:id="0" w:name="_GoBack"/>
      <w:bookmarkEnd w:id="0"/>
      <w:proofErr w:type="spellEnd"/>
      <w:r w:rsidRPr="00367D1E">
        <w:rPr>
          <w:rFonts w:ascii="Times New Roman" w:hAnsi="Times New Roman" w:cs="Times New Roman"/>
        </w:rPr>
        <w:t xml:space="preserve"> </w:t>
      </w:r>
      <w:proofErr w:type="spellStart"/>
      <w:r w:rsidRPr="00367D1E">
        <w:rPr>
          <w:rFonts w:ascii="Times New Roman" w:hAnsi="Times New Roman" w:cs="Times New Roman"/>
        </w:rPr>
        <w:t>does</w:t>
      </w:r>
      <w:proofErr w:type="spellEnd"/>
      <w:r w:rsidRPr="00367D1E">
        <w:rPr>
          <w:rFonts w:ascii="Times New Roman" w:hAnsi="Times New Roman" w:cs="Times New Roman"/>
        </w:rPr>
        <w:t xml:space="preserve"> </w:t>
      </w:r>
      <w:proofErr w:type="spellStart"/>
      <w:r w:rsidRPr="00367D1E">
        <w:rPr>
          <w:rFonts w:ascii="Times New Roman" w:hAnsi="Times New Roman" w:cs="Times New Roman"/>
        </w:rPr>
        <w:t>not</w:t>
      </w:r>
      <w:proofErr w:type="spellEnd"/>
      <w:r w:rsidRPr="00367D1E">
        <w:rPr>
          <w:rFonts w:ascii="Times New Roman" w:hAnsi="Times New Roman" w:cs="Times New Roman"/>
        </w:rPr>
        <w:t xml:space="preserve"> </w:t>
      </w:r>
      <w:proofErr w:type="spellStart"/>
      <w:r w:rsidRPr="00367D1E">
        <w:rPr>
          <w:rFonts w:ascii="Times New Roman" w:hAnsi="Times New Roman" w:cs="Times New Roman"/>
        </w:rPr>
        <w:t>exceed</w:t>
      </w:r>
      <w:proofErr w:type="spellEnd"/>
      <w:r w:rsidRPr="00367D1E">
        <w:rPr>
          <w:rFonts w:ascii="Times New Roman" w:hAnsi="Times New Roman" w:cs="Times New Roman"/>
        </w:rPr>
        <w:t xml:space="preserve"> 10% </w:t>
      </w:r>
      <w:proofErr w:type="spellStart"/>
      <w:r w:rsidRPr="00367D1E">
        <w:rPr>
          <w:rFonts w:ascii="Times New Roman" w:hAnsi="Times New Roman" w:cs="Times New Roman"/>
        </w:rPr>
        <w:t>by</w:t>
      </w:r>
      <w:proofErr w:type="spellEnd"/>
      <w:r w:rsidRPr="00367D1E">
        <w:rPr>
          <w:rFonts w:ascii="Times New Roman" w:hAnsi="Times New Roman" w:cs="Times New Roman"/>
        </w:rPr>
        <w:t xml:space="preserve"> </w:t>
      </w:r>
      <w:proofErr w:type="spellStart"/>
      <w:r w:rsidRPr="00367D1E">
        <w:rPr>
          <w:rFonts w:ascii="Times New Roman" w:hAnsi="Times New Roman" w:cs="Times New Roman"/>
        </w:rPr>
        <w:t>weight</w:t>
      </w:r>
      <w:proofErr w:type="spellEnd"/>
      <w:r w:rsidRPr="00367D1E">
        <w:rPr>
          <w:rFonts w:ascii="Times New Roman" w:hAnsi="Times New Roman" w:cs="Times New Roman"/>
        </w:rPr>
        <w:t xml:space="preserve"> of the </w:t>
      </w:r>
      <w:proofErr w:type="spellStart"/>
      <w:r w:rsidRPr="00367D1E">
        <w:rPr>
          <w:rFonts w:ascii="Times New Roman" w:hAnsi="Times New Roman" w:cs="Times New Roman"/>
        </w:rPr>
        <w:t>sample</w:t>
      </w:r>
      <w:proofErr w:type="spellEnd"/>
      <w:r w:rsidRPr="00367D1E">
        <w:rPr>
          <w:rFonts w:ascii="Times New Roman" w:hAnsi="Times New Roman" w:cs="Times New Roman"/>
        </w:rPr>
        <w:t xml:space="preserve">. The initial content of </w:t>
      </w:r>
      <w:proofErr w:type="spellStart"/>
      <w:r w:rsidRPr="00367D1E">
        <w:rPr>
          <w:rFonts w:ascii="Times New Roman" w:hAnsi="Times New Roman" w:cs="Times New Roman"/>
        </w:rPr>
        <w:t>ore</w:t>
      </w:r>
      <w:proofErr w:type="spellEnd"/>
      <w:r w:rsidRPr="00367D1E">
        <w:rPr>
          <w:rFonts w:ascii="Times New Roman" w:hAnsi="Times New Roman" w:cs="Times New Roman"/>
        </w:rPr>
        <w:t xml:space="preserve"> components WO3 and MoO3 in the </w:t>
      </w:r>
      <w:proofErr w:type="spellStart"/>
      <w:r w:rsidRPr="00367D1E">
        <w:rPr>
          <w:rFonts w:ascii="Times New Roman" w:hAnsi="Times New Roman" w:cs="Times New Roman"/>
        </w:rPr>
        <w:t>silicate</w:t>
      </w:r>
      <w:proofErr w:type="spellEnd"/>
      <w:r w:rsidRPr="00367D1E">
        <w:rPr>
          <w:rFonts w:ascii="Times New Roman" w:hAnsi="Times New Roman" w:cs="Times New Roman"/>
        </w:rPr>
        <w:t xml:space="preserve"> </w:t>
      </w:r>
      <w:proofErr w:type="spellStart"/>
      <w:r w:rsidRPr="00367D1E">
        <w:rPr>
          <w:rFonts w:ascii="Times New Roman" w:hAnsi="Times New Roman" w:cs="Times New Roman"/>
        </w:rPr>
        <w:t>part</w:t>
      </w:r>
      <w:proofErr w:type="spellEnd"/>
      <w:r w:rsidRPr="00367D1E">
        <w:rPr>
          <w:rFonts w:ascii="Times New Roman" w:hAnsi="Times New Roman" w:cs="Times New Roman"/>
        </w:rPr>
        <w:t xml:space="preserve"> is 0.3 </w:t>
      </w:r>
      <w:proofErr w:type="spellStart"/>
      <w:r w:rsidRPr="00367D1E">
        <w:rPr>
          <w:rFonts w:ascii="Times New Roman" w:hAnsi="Times New Roman" w:cs="Times New Roman"/>
        </w:rPr>
        <w:t>wt</w:t>
      </w:r>
      <w:proofErr w:type="spellEnd"/>
      <w:r w:rsidRPr="00367D1E">
        <w:rPr>
          <w:rFonts w:ascii="Times New Roman" w:hAnsi="Times New Roman" w:cs="Times New Roman"/>
        </w:rPr>
        <w:t xml:space="preserve">.% </w:t>
      </w:r>
      <w:proofErr w:type="spellStart"/>
      <w:r w:rsidRPr="00367D1E">
        <w:rPr>
          <w:rFonts w:ascii="Times New Roman" w:hAnsi="Times New Roman" w:cs="Times New Roman"/>
        </w:rPr>
        <w:t>each</w:t>
      </w:r>
      <w:proofErr w:type="spellEnd"/>
      <w:r w:rsidRPr="00367D1E">
        <w:rPr>
          <w:rFonts w:ascii="Times New Roman" w:hAnsi="Times New Roman" w:cs="Times New Roman"/>
        </w:rPr>
        <w:t xml:space="preserve"> in </w:t>
      </w:r>
      <w:proofErr w:type="spellStart"/>
      <w:r w:rsidRPr="00367D1E">
        <w:rPr>
          <w:rFonts w:ascii="Times New Roman" w:hAnsi="Times New Roman" w:cs="Times New Roman"/>
        </w:rPr>
        <w:t>terms</w:t>
      </w:r>
      <w:proofErr w:type="spellEnd"/>
      <w:r w:rsidRPr="00367D1E">
        <w:rPr>
          <w:rFonts w:ascii="Times New Roman" w:hAnsi="Times New Roman" w:cs="Times New Roman"/>
        </w:rPr>
        <w:t xml:space="preserve"> of </w:t>
      </w:r>
      <w:proofErr w:type="spellStart"/>
      <w:r w:rsidRPr="00367D1E">
        <w:rPr>
          <w:rFonts w:ascii="Times New Roman" w:hAnsi="Times New Roman" w:cs="Times New Roman"/>
        </w:rPr>
        <w:t>metal</w:t>
      </w:r>
      <w:proofErr w:type="spellEnd"/>
      <w:r w:rsidRPr="00367D1E">
        <w:rPr>
          <w:rFonts w:ascii="Times New Roman" w:hAnsi="Times New Roman" w:cs="Times New Roman"/>
        </w:rPr>
        <w:t>.</w:t>
      </w:r>
    </w:p>
    <w:p w:rsidR="00367D1E" w:rsidRPr="00367D1E" w:rsidRDefault="00367D1E" w:rsidP="00367D1E">
      <w:pPr>
        <w:rPr>
          <w:rFonts w:ascii="Times New Roman" w:hAnsi="Times New Roman" w:cs="Times New Roman"/>
          <w:i/>
        </w:rPr>
      </w:pPr>
      <w:proofErr w:type="spellStart"/>
      <w:r w:rsidRPr="00367D1E">
        <w:rPr>
          <w:rFonts w:ascii="Times New Roman" w:hAnsi="Times New Roman" w:cs="Times New Roman"/>
          <w:i/>
        </w:rPr>
        <w:t>Key</w:t>
      </w:r>
      <w:proofErr w:type="spellEnd"/>
      <w:r w:rsidRPr="00367D1E">
        <w:rPr>
          <w:rFonts w:ascii="Times New Roman" w:hAnsi="Times New Roman" w:cs="Times New Roman"/>
          <w:i/>
        </w:rPr>
        <w:t xml:space="preserve"> </w:t>
      </w:r>
      <w:proofErr w:type="spellStart"/>
      <w:r w:rsidRPr="00367D1E">
        <w:rPr>
          <w:rFonts w:ascii="Times New Roman" w:hAnsi="Times New Roman" w:cs="Times New Roman"/>
          <w:i/>
        </w:rPr>
        <w:t>words</w:t>
      </w:r>
      <w:proofErr w:type="spellEnd"/>
      <w:r w:rsidRPr="00367D1E">
        <w:rPr>
          <w:rFonts w:ascii="Times New Roman" w:hAnsi="Times New Roman" w:cs="Times New Roman"/>
          <w:i/>
        </w:rPr>
        <w:t xml:space="preserve">: </w:t>
      </w:r>
      <w:proofErr w:type="spellStart"/>
      <w:r w:rsidRPr="00367D1E">
        <w:rPr>
          <w:rFonts w:ascii="Times New Roman" w:hAnsi="Times New Roman" w:cs="Times New Roman"/>
          <w:i/>
        </w:rPr>
        <w:t>rare</w:t>
      </w:r>
      <w:proofErr w:type="spellEnd"/>
      <w:r w:rsidRPr="00367D1E">
        <w:rPr>
          <w:rFonts w:ascii="Times New Roman" w:hAnsi="Times New Roman" w:cs="Times New Roman"/>
          <w:i/>
        </w:rPr>
        <w:t xml:space="preserve"> </w:t>
      </w:r>
      <w:proofErr w:type="spellStart"/>
      <w:r w:rsidRPr="00367D1E">
        <w:rPr>
          <w:rFonts w:ascii="Times New Roman" w:hAnsi="Times New Roman" w:cs="Times New Roman"/>
          <w:i/>
        </w:rPr>
        <w:t>metal</w:t>
      </w:r>
      <w:proofErr w:type="spellEnd"/>
      <w:r w:rsidRPr="00367D1E">
        <w:rPr>
          <w:rFonts w:ascii="Times New Roman" w:hAnsi="Times New Roman" w:cs="Times New Roman"/>
          <w:i/>
        </w:rPr>
        <w:t xml:space="preserve"> </w:t>
      </w:r>
      <w:proofErr w:type="spellStart"/>
      <w:r w:rsidRPr="00367D1E">
        <w:rPr>
          <w:rFonts w:ascii="Times New Roman" w:hAnsi="Times New Roman" w:cs="Times New Roman"/>
          <w:i/>
        </w:rPr>
        <w:t>skarns</w:t>
      </w:r>
      <w:proofErr w:type="spellEnd"/>
      <w:r w:rsidRPr="00367D1E">
        <w:rPr>
          <w:rFonts w:ascii="Times New Roman" w:hAnsi="Times New Roman" w:cs="Times New Roman"/>
          <w:i/>
        </w:rPr>
        <w:t xml:space="preserve">, </w:t>
      </w:r>
      <w:proofErr w:type="spellStart"/>
      <w:r w:rsidRPr="00367D1E">
        <w:rPr>
          <w:rFonts w:ascii="Times New Roman" w:hAnsi="Times New Roman" w:cs="Times New Roman"/>
          <w:i/>
        </w:rPr>
        <w:t>transfer</w:t>
      </w:r>
      <w:proofErr w:type="spellEnd"/>
      <w:r w:rsidRPr="00367D1E">
        <w:rPr>
          <w:rFonts w:ascii="Times New Roman" w:hAnsi="Times New Roman" w:cs="Times New Roman"/>
          <w:i/>
        </w:rPr>
        <w:t xml:space="preserve"> of </w:t>
      </w:r>
      <w:proofErr w:type="spellStart"/>
      <w:r w:rsidRPr="00367D1E">
        <w:rPr>
          <w:rFonts w:ascii="Times New Roman" w:hAnsi="Times New Roman" w:cs="Times New Roman"/>
          <w:i/>
        </w:rPr>
        <w:t>tungsten</w:t>
      </w:r>
      <w:proofErr w:type="spellEnd"/>
      <w:r w:rsidRPr="00367D1E">
        <w:rPr>
          <w:rFonts w:ascii="Times New Roman" w:hAnsi="Times New Roman" w:cs="Times New Roman"/>
          <w:i/>
        </w:rPr>
        <w:t xml:space="preserve"> and </w:t>
      </w:r>
      <w:proofErr w:type="spellStart"/>
      <w:r w:rsidRPr="00367D1E">
        <w:rPr>
          <w:rFonts w:ascii="Times New Roman" w:hAnsi="Times New Roman" w:cs="Times New Roman"/>
          <w:i/>
        </w:rPr>
        <w:t>molybdenum</w:t>
      </w:r>
      <w:proofErr w:type="spellEnd"/>
      <w:r w:rsidRPr="00367D1E">
        <w:rPr>
          <w:rFonts w:ascii="Times New Roman" w:hAnsi="Times New Roman" w:cs="Times New Roman"/>
          <w:i/>
        </w:rPr>
        <w:t>, interaction of fluorine-containing melt and calcite.</w:t>
      </w:r>
    </w:p>
    <w:sectPr w:rsidR="00367D1E" w:rsidRPr="00367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FA"/>
    <w:rsid w:val="001517FE"/>
    <w:rsid w:val="0019293D"/>
    <w:rsid w:val="00221D40"/>
    <w:rsid w:val="00367D1E"/>
    <w:rsid w:val="003D429B"/>
    <w:rsid w:val="003E2F1B"/>
    <w:rsid w:val="006045D6"/>
    <w:rsid w:val="007E67FA"/>
    <w:rsid w:val="008C51A7"/>
    <w:rsid w:val="00A051CA"/>
    <w:rsid w:val="00B1265A"/>
    <w:rsid w:val="00BA5C5C"/>
    <w:rsid w:val="00C35881"/>
    <w:rsid w:val="00CB5A62"/>
    <w:rsid w:val="00CE657C"/>
    <w:rsid w:val="00D351A6"/>
    <w:rsid w:val="00D94391"/>
    <w:rsid w:val="00DF7564"/>
    <w:rsid w:val="00E41310"/>
    <w:rsid w:val="00FC0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EB08"/>
  <w15:chartTrackingRefBased/>
  <w15:docId w15:val="{A9F0DDA4-D9D0-4A76-B3E2-CC54B723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265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51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naAlf@bk.ru" TargetMode="External"/><Relationship Id="rId5" Type="http://schemas.openxmlformats.org/officeDocument/2006/relationships/image" Target="media/image1.tiff"/><Relationship Id="rId4" Type="http://schemas.openxmlformats.org/officeDocument/2006/relationships/hyperlink" Target="mailto:YanaAlf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2</cp:revision>
  <dcterms:created xsi:type="dcterms:W3CDTF">2024-05-31T11:43:00Z</dcterms:created>
  <dcterms:modified xsi:type="dcterms:W3CDTF">2024-05-31T11:43:00Z</dcterms:modified>
</cp:coreProperties>
</file>